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3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8_edei--DocumentPeriodEndDate_c202"/>
      <w:bookmarkEnd w:id="4"/>
      <w:r>
        <w:rPr>
          <w:rFonts w:ascii="Times New Roman;Times;Serif" w:hAnsi="Times New Roman;Times;Serif"/>
          <w:b/>
          <w:i w:val="false"/>
          <w:caps w:val="false"/>
          <w:smallCaps w:val="false"/>
          <w:sz w:val="20"/>
        </w:rPr>
        <w:t xml:space="preserve">March 31, </w:t>
      </w:r>
      <w:bookmarkStart w:id="5" w:name="xdx_90D_edei--DocumentFiscalYearFocus_c2"/>
      <w:bookmarkEnd w:id="5"/>
      <w:r>
        <w:rPr>
          <w:rFonts w:ascii="Times New Roman;Times;Serif" w:hAnsi="Times New Roman;Times;Serif"/>
          <w:b/>
          <w:i w:val="false"/>
          <w:caps w:val="false"/>
          <w:smallCaps w:val="false"/>
          <w:sz w:val="20"/>
        </w:rPr>
        <w:t>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pBdr/>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0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8_edei--EntityFileNumber_c20260101"/>
      <w:bookmarkEnd w:id="7"/>
      <w:r>
        <w:rPr>
          <w:rFonts w:ascii="Times New Roman;Times;Serif" w:hAnsi="Times New Roman;Times;Serif"/>
          <w:b/>
          <w:i w:val="false"/>
          <w:caps w:val="false"/>
          <w:smallCaps w:val="false"/>
          <w:sz w:val="20"/>
        </w:rPr>
        <w:t>001-33624</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8" w:name="xdx_908_edei--EntityRegistrantName_c2026"/>
      <w:bookmarkEnd w:id="8"/>
      <w:r>
        <w:rPr>
          <w:rFonts w:ascii="Times New Roman;Times;Serif" w:hAnsi="Times New Roman;Times;Serif"/>
          <w:b/>
          <w:i w:val="false"/>
          <w:caps w:val="false"/>
          <w:smallCaps w:val="false"/>
          <w:sz w:val="36"/>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870"/>
        <w:gridCol w:w="60"/>
        <w:gridCol w:w="1565"/>
      </w:tblGrid>
      <w:tr>
        <w:trPr/>
        <w:tc>
          <w:tcPr>
            <w:tcW w:w="2870" w:type="dxa"/>
            <w:tcBorders/>
            <w:vAlign w:val="center"/>
          </w:tcPr>
          <w:p>
            <w:pPr>
              <w:pStyle w:val="TableContents"/>
              <w:bidi w:val="0"/>
              <w:spacing w:before="0" w:after="283"/>
              <w:jc w:val="center"/>
              <w:rPr>
                <w:rFonts w:ascii="Times New Roman;Times;Serif" w:hAnsi="Times New Roman;Times;Serif"/>
                <w:b/>
                <w:i w:val="false"/>
                <w:caps/>
                <w:sz w:val="20"/>
              </w:rPr>
            </w:pPr>
            <w:bookmarkStart w:id="9" w:name="xdx_905_edei--EntityIncorporationStateCo"/>
            <w:bookmarkEnd w:id="9"/>
            <w:r>
              <w:rPr>
                <w:rFonts w:ascii="Times New Roman;Times;Serif" w:hAnsi="Times New Roman;Times;Serif"/>
                <w:b/>
                <w:i w:val="false"/>
                <w:caps/>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TaxIdentificationNum"/>
            <w:bookmarkEnd w:id="10"/>
            <w:r>
              <w:rPr>
                <w:rFonts w:ascii="Times New Roman;Times;Serif" w:hAnsi="Times New Roman;Times;Serif"/>
                <w:b/>
                <w:i w:val="false"/>
                <w:caps w:val="false"/>
                <w:smallCaps w:val="false"/>
                <w:sz w:val="20"/>
              </w:rPr>
              <w:t>84-1375299</w:t>
            </w:r>
          </w:p>
        </w:tc>
      </w:tr>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575"/>
        <w:gridCol w:w="60"/>
        <w:gridCol w:w="935"/>
      </w:tblGrid>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 xml:space="preserve">1885 West 2100 South, </w:t>
            </w:r>
            <w:bookmarkStart w:id="12" w:name="xdx_907_edei--EntityAddressCityOrTown_c2"/>
            <w:bookmarkEnd w:id="12"/>
            <w:r>
              <w:rPr>
                <w:rFonts w:ascii="Times New Roman;Times;Serif" w:hAnsi="Times New Roman;Times;Serif"/>
                <w:b/>
                <w:i w:val="false"/>
                <w:caps w:val="false"/>
                <w:smallCaps w:val="false"/>
                <w:sz w:val="20"/>
              </w:rPr>
              <w:t xml:space="preserve">Salt Lake City, </w:t>
            </w:r>
            <w:bookmarkStart w:id="13" w:name="xdx_90A_edei--EntityAddressStateOrProvin"/>
            <w:bookmarkEnd w:id="13"/>
            <w:r>
              <w:rPr>
                <w:rFonts w:ascii="Times New Roman;Times;Serif" w:hAnsi="Times New Roman;Times;Serif"/>
                <w:b/>
                <w:i w:val="false"/>
                <w:caps w:val="false"/>
                <w:smallCaps w:val="false"/>
                <w:sz w:val="20"/>
              </w:rPr>
              <w:t>UT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5_edei--EntityAddressPostalZipCode"/>
            <w:bookmarkEnd w:id="14"/>
            <w:r>
              <w:rPr>
                <w:rFonts w:ascii="Times New Roman;Times;Serif" w:hAnsi="Times New Roman;Times;Serif"/>
                <w:b/>
                <w:i w:val="false"/>
                <w:caps w:val="false"/>
                <w:smallCaps w:val="false"/>
                <w:sz w:val="20"/>
              </w:rPr>
              <w:t>84119</w:t>
            </w:r>
          </w:p>
        </w:tc>
      </w:tr>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5" w:name="xdx_904_edei--CityAreaCode_c20260101__20"/>
      <w:bookmarkEnd w:id="15"/>
      <w:r>
        <w:rPr>
          <w:rFonts w:ascii="Times New Roman;Times;Serif" w:hAnsi="Times New Roman;Times;Serif"/>
          <w:b/>
          <w:i w:val="false"/>
          <w:caps w:val="false"/>
          <w:smallCaps w:val="false"/>
          <w:sz w:val="20"/>
        </w:rPr>
        <w:t xml:space="preserve">(801) </w:t>
      </w:r>
      <w:bookmarkStart w:id="16" w:name="xdx_900_edei--LocalPhoneNumber_c20260101"/>
      <w:bookmarkEnd w:id="16"/>
      <w:r>
        <w:rPr>
          <w:rFonts w:ascii="Times New Roman;Times;Serif" w:hAnsi="Times New Roman;Times;Serif"/>
          <w:b/>
          <w:i w:val="false"/>
          <w:caps w:val="false"/>
          <w:smallCaps w:val="false"/>
          <w:sz w:val="20"/>
        </w:rPr>
        <w:t>839-3500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both"/>
        <w:rPr>
          <w:caps w:val="false"/>
          <w:smallCaps w:val="false"/>
        </w:rPr>
      </w:pPr>
      <w:r>
        <w:rPr>
          <w:caps w:val="false"/>
          <w:smallCaps w:val="false"/>
        </w:rPr>
        <w:t> </w:t>
      </w:r>
    </w:p>
    <w:tbl>
      <w:tblPr>
        <w:tblW w:w="6615" w:type="dxa"/>
        <w:jc w:val="left"/>
        <w:tblInd w:w="0" w:type="dxa"/>
        <w:tblLayout w:type="fixed"/>
        <w:tblCellMar>
          <w:top w:w="0" w:type="dxa"/>
          <w:left w:w="0" w:type="dxa"/>
          <w:bottom w:w="28" w:type="dxa"/>
          <w:right w:w="0" w:type="dxa"/>
        </w:tblCellMar>
      </w:tblPr>
      <w:tblGrid>
        <w:gridCol w:w="1490"/>
        <w:gridCol w:w="60"/>
        <w:gridCol w:w="141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E_edei--Security12bTitle_c20260101"/>
            <w:bookmarkEnd w:id="17"/>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TradingSymbol_c20260101__2"/>
            <w:bookmarkEnd w:id="18"/>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7_edei--SecurityExchangeName_c2026"/>
            <w:bookmarkEnd w:id="19"/>
            <w:r>
              <w:rPr>
                <w:rFonts w:ascii="Times New Roman;Times;Serif" w:hAnsi="Times New Roman;Times;Serif"/>
                <w:b w:val="false"/>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1_edei--EntityCurrentReportingStat"/>
      <w:bookmarkEnd w:id="20"/>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bookmarkStart w:id="21" w:name="xdx_908_edei--EntityInteractiveDataCurre"/>
      <w:bookmarkEnd w:id="21"/>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pBdr/>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8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1_edei--EntitySmallBusiness_c20260"/>
            <w:bookmarkEnd w:id="23"/>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4" w:name="xdx_905_edei--EntityEmergingGrowthCompan"/>
            <w:bookmarkEnd w:id="24"/>
            <w:r>
              <w:rPr>
                <w:caps w:val="false"/>
                <w:smallCaps w:val="false"/>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B_edei--EntityShellCompany_dbF_c20"/>
      <w:bookmarkEnd w:id="25"/>
      <w:r>
        <w:rPr>
          <w:rFonts w:ascii="Times New Roman;Times;Serif" w:hAnsi="Times New Roman;Times;Serif"/>
          <w:b w:val="false"/>
          <w:i w:val="false"/>
          <w:caps w:val="false"/>
          <w:smallCaps w:val="false"/>
          <w:sz w:val="20"/>
        </w:rPr>
        <w:t>☒</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6" w:name="xdx_90A_edei--EntityCommonStockSharesOut"/>
      <w:bookmarkEnd w:id="26"/>
      <w:r>
        <w:rPr>
          <w:rFonts w:ascii="Times New Roman;Times;Serif" w:hAnsi="Times New Roman;Times;Serif"/>
          <w:b w:val="false"/>
          <w:i w:val="false"/>
          <w:caps w:val="false"/>
          <w:smallCaps w:val="false"/>
          <w:sz w:val="20"/>
        </w:rPr>
        <w:t>4,319,279 shares of common stock, $</w:t>
      </w:r>
      <w:bookmarkStart w:id="27" w:name="xdx_90B_edei--EntityListingParValuePerSh"/>
      <w:bookmarkEnd w:id="27"/>
      <w:r>
        <w:rPr>
          <w:rFonts w:ascii="Times New Roman;Times;Serif" w:hAnsi="Times New Roman;Times;Serif"/>
          <w:b w:val="false"/>
          <w:i w:val="false"/>
          <w:caps w:val="false"/>
          <w:smallCaps w:val="false"/>
          <w:sz w:val="20"/>
        </w:rPr>
        <w:t>0.01 par value, were outstanding at May 8, 2026.</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895"/>
        <w:gridCol w:w="245"/>
      </w:tblGrid>
      <w:tr>
        <w:trPr/>
        <w:tc>
          <w:tcPr>
            <w:tcW w:w="7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Financial Information</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Financial Statements</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Condensed Consolidated Balance Sheets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8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8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8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8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8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8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4. 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Part II. Other Information</w:t>
              </w:r>
            </w:hyperlink>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1. 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1A.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3. 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4. 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5.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6. 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Condensed Consolidated Balance Sheets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F_111_pn3n3_zSGg3yDfIWt9"/>
      <w:bookmarkStart w:id="30" w:name="xdx_30F_111_pn3n3_zSGg3yDfIWt9"/>
      <w:bookmarkEnd w:id="30"/>
    </w:p>
    <w:tbl>
      <w:tblPr>
        <w:tblW w:w="10205" w:type="dxa"/>
        <w:jc w:val="left"/>
        <w:tblInd w:w="0" w:type="dxa"/>
        <w:tblLayout w:type="fixed"/>
        <w:tblCellMar>
          <w:top w:w="0" w:type="dxa"/>
          <w:left w:w="0" w:type="dxa"/>
          <w:bottom w:w="0" w:type="dxa"/>
          <w:right w:w="0" w:type="dxa"/>
        </w:tblCellMar>
      </w:tblPr>
      <w:tblGrid>
        <w:gridCol w:w="7668"/>
        <w:gridCol w:w="60"/>
        <w:gridCol w:w="142"/>
        <w:gridCol w:w="891"/>
        <w:gridCol w:w="95"/>
        <w:gridCol w:w="60"/>
        <w:gridCol w:w="161"/>
        <w:gridCol w:w="1016"/>
        <w:gridCol w:w="112"/>
      </w:tblGrid>
      <w:tr>
        <w:trPr/>
        <w:tc>
          <w:tcPr>
            <w:tcW w:w="76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F_20260331_zuVileK5kErc"/>
            <w:bookmarkEnd w:id="31"/>
          </w:p>
        </w:tc>
        <w:tc>
          <w:tcPr>
            <w:tcW w:w="1033" w:type="dxa"/>
            <w:gridSpan w:val="2"/>
            <w:tcBorders>
              <w:bottom w:val="single" w:sz="8"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6_20251231_zvyw3nSN7Ddi"/>
            <w:bookmarkEnd w:id="32"/>
          </w:p>
        </w:tc>
        <w:tc>
          <w:tcPr>
            <w:tcW w:w="1177"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6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33" w:name="xdx_409_eus-gaap--AssetsAbstract_iB_z9Sp"/>
            <w:bookmarkEnd w:id="33"/>
          </w:p>
        </w:tc>
      </w:tr>
      <w:tr>
        <w:trPr/>
        <w:tc>
          <w:tcPr>
            <w:tcW w:w="766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 w:name="xdx_401_eus-gaap--AssetsCurrentAbstract_"/>
            <w:bookmarkEnd w:id="34"/>
          </w:p>
        </w:tc>
      </w:tr>
      <w:tr>
        <w:trPr/>
        <w:tc>
          <w:tcPr>
            <w:tcW w:w="7668"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5" w:name="xdx_407_eus-gaap--CashAndCashEquivalents"/>
            <w:bookmarkEnd w:id="35"/>
          </w:p>
        </w:tc>
      </w:tr>
      <w:tr>
        <w:trPr/>
        <w:tc>
          <w:tcPr>
            <w:tcW w:w="766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1,889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4,140</w:t>
            </w:r>
          </w:p>
        </w:tc>
        <w:tc>
          <w:tcPr>
            <w:tcW w:w="112" w:type="dxa"/>
            <w:tcBorders/>
            <w:shd w:fill="CCEEFF" w:val="clear"/>
            <w:vAlign w:val="center"/>
          </w:tcPr>
          <w:p>
            <w:pPr>
              <w:pStyle w:val="TableContents"/>
              <w:bidi w:val="0"/>
              <w:spacing w:before="0" w:after="283"/>
              <w:jc w:val="left"/>
              <w:rPr/>
            </w:pPr>
            <w:r>
              <w:rPr/>
              <w:t> </w:t>
            </w:r>
            <w:bookmarkStart w:id="36" w:name="xdx_406_eus-gaap--AccountsAndOtherReceiv"/>
            <w:bookmarkEnd w:id="36"/>
          </w:p>
        </w:tc>
      </w:tr>
      <w:tr>
        <w:trPr/>
        <w:tc>
          <w:tcPr>
            <w:tcW w:w="7668" w:type="dxa"/>
            <w:tcBorders/>
            <w:shd w:fill="FFFFFF" w:val="clear"/>
            <w:vAlign w:val="center"/>
          </w:tcPr>
          <w:p>
            <w:pPr>
              <w:pStyle w:val="TableContents"/>
              <w:bidi w:val="0"/>
              <w:spacing w:before="0" w:after="283"/>
              <w:jc w:val="left"/>
              <w:rPr/>
            </w:pPr>
            <w:r>
              <w:rPr/>
              <w:t>Account and other receivables, net of allowance for credit losses of $</w:t>
            </w:r>
            <w:bookmarkStart w:id="37" w:name="xdx_908_eus-gaap--AllowanceForDoubtfulAc"/>
            <w:bookmarkEnd w:id="37"/>
            <w:r>
              <w:rPr/>
              <w:t>11.0 and $</w:t>
            </w:r>
            <w:bookmarkStart w:id="38" w:name="xdx_90C_eus-gaap--AllowanceForDoubtfulAc"/>
            <w:bookmarkEnd w:id="38"/>
            <w:r>
              <w:rPr/>
              <w:t>2.4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178</w:t>
            </w:r>
          </w:p>
        </w:tc>
        <w:tc>
          <w:tcPr>
            <w:tcW w:w="112" w:type="dxa"/>
            <w:tcBorders/>
            <w:shd w:fill="FFFFFF" w:val="clear"/>
            <w:vAlign w:val="center"/>
          </w:tcPr>
          <w:p>
            <w:pPr>
              <w:pStyle w:val="TableContents"/>
              <w:bidi w:val="0"/>
              <w:spacing w:before="0" w:after="283"/>
              <w:jc w:val="left"/>
              <w:rPr/>
            </w:pPr>
            <w:r>
              <w:rPr/>
              <w:t> </w:t>
            </w:r>
            <w:bookmarkStart w:id="39" w:name="xdx_40B_eus-gaap--PrepaidExpenseAndOther"/>
            <w:bookmarkEnd w:id="39"/>
          </w:p>
        </w:tc>
      </w:tr>
      <w:tr>
        <w:trPr/>
        <w:tc>
          <w:tcPr>
            <w:tcW w:w="766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507</w:t>
            </w:r>
          </w:p>
        </w:tc>
        <w:tc>
          <w:tcPr>
            <w:tcW w:w="112" w:type="dxa"/>
            <w:tcBorders/>
            <w:shd w:fill="CCEEFF" w:val="clear"/>
            <w:vAlign w:val="center"/>
          </w:tcPr>
          <w:p>
            <w:pPr>
              <w:pStyle w:val="TableContents"/>
              <w:bidi w:val="0"/>
              <w:spacing w:before="0" w:after="283"/>
              <w:jc w:val="left"/>
              <w:rPr/>
            </w:pPr>
            <w:r>
              <w:rPr/>
              <w:t> </w:t>
            </w:r>
            <w:bookmarkStart w:id="40" w:name="xdx_402_eus-gaap--InventoryNet_i02I_maAC"/>
            <w:bookmarkEnd w:id="40"/>
          </w:p>
        </w:tc>
      </w:tr>
      <w:tr>
        <w:trPr/>
        <w:tc>
          <w:tcPr>
            <w:tcW w:w="7668"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1,394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825</w:t>
            </w:r>
          </w:p>
        </w:tc>
        <w:tc>
          <w:tcPr>
            <w:tcW w:w="112" w:type="dxa"/>
            <w:tcBorders/>
            <w:shd w:fill="FFFFFF" w:val="clear"/>
            <w:vAlign w:val="center"/>
          </w:tcPr>
          <w:p>
            <w:pPr>
              <w:pStyle w:val="TableContents"/>
              <w:bidi w:val="0"/>
              <w:spacing w:before="0" w:after="283"/>
              <w:jc w:val="left"/>
              <w:rPr/>
            </w:pPr>
            <w:r>
              <w:rPr/>
              <w:t> </w:t>
            </w:r>
            <w:bookmarkStart w:id="41" w:name="xdx_403_eus-gaap--AssetsCurrent_i02TI_ma"/>
            <w:bookmarkEnd w:id="41"/>
          </w:p>
        </w:tc>
      </w:tr>
      <w:tr>
        <w:trPr/>
        <w:tc>
          <w:tcPr>
            <w:tcW w:w="766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5,650</w:t>
            </w:r>
          </w:p>
        </w:tc>
        <w:tc>
          <w:tcPr>
            <w:tcW w:w="112" w:type="dxa"/>
            <w:tcBorders/>
            <w:shd w:fill="CCEEFF" w:val="clear"/>
            <w:vAlign w:val="center"/>
          </w:tcPr>
          <w:p>
            <w:pPr>
              <w:pStyle w:val="TableContents"/>
              <w:bidi w:val="0"/>
              <w:spacing w:before="0" w:after="283"/>
              <w:jc w:val="left"/>
              <w:rPr/>
            </w:pPr>
            <w:r>
              <w:rPr/>
              <w:t> </w:t>
            </w:r>
          </w:p>
        </w:tc>
      </w:tr>
      <w:tr>
        <w:trPr/>
        <w:tc>
          <w:tcPr>
            <w:tcW w:w="76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2" w:name="xdx_40C_eus-gaap--InventoryNoncurrent_i0"/>
            <w:bookmarkEnd w:id="42"/>
          </w:p>
        </w:tc>
      </w:tr>
      <w:tr>
        <w:trPr/>
        <w:tc>
          <w:tcPr>
            <w:tcW w:w="766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219</w:t>
            </w:r>
          </w:p>
        </w:tc>
        <w:tc>
          <w:tcPr>
            <w:tcW w:w="112" w:type="dxa"/>
            <w:tcBorders/>
            <w:shd w:fill="CCEEFF" w:val="clear"/>
            <w:vAlign w:val="center"/>
          </w:tcPr>
          <w:p>
            <w:pPr>
              <w:pStyle w:val="TableContents"/>
              <w:bidi w:val="0"/>
              <w:spacing w:before="0" w:after="283"/>
              <w:jc w:val="left"/>
              <w:rPr/>
            </w:pPr>
            <w:r>
              <w:rPr/>
              <w:t> </w:t>
            </w:r>
            <w:bookmarkStart w:id="43" w:name="xdx_401_eus-gaap--PropertyPlantAndEquipm"/>
            <w:bookmarkEnd w:id="43"/>
          </w:p>
        </w:tc>
      </w:tr>
      <w:tr>
        <w:trPr/>
        <w:tc>
          <w:tcPr>
            <w:tcW w:w="766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476</w:t>
            </w:r>
          </w:p>
        </w:tc>
        <w:tc>
          <w:tcPr>
            <w:tcW w:w="112" w:type="dxa"/>
            <w:tcBorders/>
            <w:shd w:fill="FFFFFF" w:val="clear"/>
            <w:vAlign w:val="center"/>
          </w:tcPr>
          <w:p>
            <w:pPr>
              <w:pStyle w:val="TableContents"/>
              <w:bidi w:val="0"/>
              <w:spacing w:before="0" w:after="283"/>
              <w:jc w:val="left"/>
              <w:rPr/>
            </w:pPr>
            <w:r>
              <w:rPr/>
              <w:t> </w:t>
            </w:r>
            <w:bookmarkStart w:id="44" w:name="xdx_405_eus-gaap--IntangibleAssetsNetExc"/>
            <w:bookmarkEnd w:id="44"/>
          </w:p>
        </w:tc>
      </w:tr>
      <w:tr>
        <w:trPr/>
        <w:tc>
          <w:tcPr>
            <w:tcW w:w="7668"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142</w:t>
            </w:r>
          </w:p>
        </w:tc>
        <w:tc>
          <w:tcPr>
            <w:tcW w:w="112" w:type="dxa"/>
            <w:tcBorders/>
            <w:shd w:fill="CCEEFF" w:val="clear"/>
            <w:vAlign w:val="center"/>
          </w:tcPr>
          <w:p>
            <w:pPr>
              <w:pStyle w:val="TableContents"/>
              <w:bidi w:val="0"/>
              <w:spacing w:before="0" w:after="283"/>
              <w:jc w:val="left"/>
              <w:rPr/>
            </w:pPr>
            <w:r>
              <w:rPr/>
              <w:t> </w:t>
            </w:r>
            <w:bookmarkStart w:id="45" w:name="xdx_409_eus-gaap--Goodwill_i01I_maCziAO_"/>
            <w:bookmarkEnd w:id="45"/>
          </w:p>
        </w:tc>
      </w:tr>
      <w:tr>
        <w:trPr/>
        <w:tc>
          <w:tcPr>
            <w:tcW w:w="7668"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302</w:t>
            </w:r>
          </w:p>
        </w:tc>
        <w:tc>
          <w:tcPr>
            <w:tcW w:w="112" w:type="dxa"/>
            <w:tcBorders/>
            <w:shd w:fill="FFFFFF" w:val="clear"/>
            <w:vAlign w:val="center"/>
          </w:tcPr>
          <w:p>
            <w:pPr>
              <w:pStyle w:val="TableContents"/>
              <w:bidi w:val="0"/>
              <w:spacing w:before="0" w:after="283"/>
              <w:jc w:val="left"/>
              <w:rPr/>
            </w:pPr>
            <w:r>
              <w:rPr/>
              <w:t> </w:t>
            </w:r>
            <w:bookmarkStart w:id="46" w:name="xdx_407_eus-gaap--OperatingLeaseRightOfU"/>
            <w:bookmarkEnd w:id="46"/>
          </w:p>
        </w:tc>
      </w:tr>
      <w:tr>
        <w:trPr/>
        <w:tc>
          <w:tcPr>
            <w:tcW w:w="7668" w:type="dxa"/>
            <w:tcBorders/>
            <w:shd w:fill="CCEEFF" w:val="clear"/>
            <w:vAlign w:val="center"/>
          </w:tcPr>
          <w:p>
            <w:pPr>
              <w:pStyle w:val="TableContents"/>
              <w:bidi w:val="0"/>
              <w:spacing w:before="0" w:after="283"/>
              <w:jc w:val="left"/>
              <w:rPr/>
            </w:pPr>
            <w:r>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2,458</w:t>
            </w:r>
          </w:p>
        </w:tc>
        <w:tc>
          <w:tcPr>
            <w:tcW w:w="112" w:type="dxa"/>
            <w:tcBorders/>
            <w:shd w:fill="CCEEFF" w:val="clear"/>
            <w:vAlign w:val="center"/>
          </w:tcPr>
          <w:p>
            <w:pPr>
              <w:pStyle w:val="TableContents"/>
              <w:bidi w:val="0"/>
              <w:spacing w:before="0" w:after="283"/>
              <w:jc w:val="left"/>
              <w:rPr/>
            </w:pPr>
            <w:r>
              <w:rPr/>
              <w:t> </w:t>
            </w:r>
            <w:bookmarkStart w:id="47" w:name="xdx_405_eus-gaap--OtherAssetsNoncurrent_"/>
            <w:bookmarkEnd w:id="47"/>
          </w:p>
        </w:tc>
      </w:tr>
      <w:tr>
        <w:trPr/>
        <w:tc>
          <w:tcPr>
            <w:tcW w:w="7668"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112" w:type="dxa"/>
            <w:tcBorders/>
            <w:shd w:fill="FFFFFF" w:val="clear"/>
            <w:vAlign w:val="center"/>
          </w:tcPr>
          <w:p>
            <w:pPr>
              <w:pStyle w:val="TableContents"/>
              <w:bidi w:val="0"/>
              <w:spacing w:before="0" w:after="283"/>
              <w:jc w:val="left"/>
              <w:rPr/>
            </w:pPr>
            <w:r>
              <w:rPr/>
              <w:t> </w:t>
            </w:r>
            <w:bookmarkStart w:id="48" w:name="xdx_40D_eus-gaap--Assets_i01TI_mtCziAO_z"/>
            <w:bookmarkEnd w:id="48"/>
          </w:p>
        </w:tc>
      </w:tr>
      <w:tr>
        <w:trPr/>
        <w:tc>
          <w:tcPr>
            <w:tcW w:w="7668"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pPr>
            <w:r>
              <w:rPr/>
              <w:t>7,811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pPr>
            <w:r>
              <w:rPr/>
              <w:t>9,506</w:t>
            </w:r>
          </w:p>
        </w:tc>
        <w:tc>
          <w:tcPr>
            <w:tcW w:w="112" w:type="dxa"/>
            <w:tcBorders/>
            <w:shd w:fill="CCEEFF" w:val="clear"/>
            <w:vAlign w:val="center"/>
          </w:tcPr>
          <w:p>
            <w:pPr>
              <w:pStyle w:val="TableContents"/>
              <w:bidi w:val="0"/>
              <w:spacing w:before="0" w:after="283"/>
              <w:jc w:val="left"/>
              <w:rPr/>
            </w:pPr>
            <w:r>
              <w:rPr/>
              <w:t> </w:t>
            </w:r>
          </w:p>
        </w:tc>
      </w:tr>
      <w:tr>
        <w:trPr/>
        <w:tc>
          <w:tcPr>
            <w:tcW w:w="76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9" w:name="xdx_40E_eus-gaap--LiabilitiesAndStockhol"/>
            <w:bookmarkEnd w:id="49"/>
          </w:p>
        </w:tc>
      </w:tr>
      <w:tr>
        <w:trPr/>
        <w:tc>
          <w:tcPr>
            <w:tcW w:w="7668"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3_eus-gaap--LiabilitiesCurrentAbst"/>
            <w:bookmarkEnd w:id="50"/>
          </w:p>
        </w:tc>
      </w:tr>
      <w:tr>
        <w:trPr/>
        <w:tc>
          <w:tcPr>
            <w:tcW w:w="766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1" w:name="xdx_400_eus-gaap--AccountsPayableCurrent"/>
            <w:bookmarkEnd w:id="51"/>
          </w:p>
        </w:tc>
      </w:tr>
      <w:tr>
        <w:trPr/>
        <w:tc>
          <w:tcPr>
            <w:tcW w:w="766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382</w:t>
            </w:r>
          </w:p>
        </w:tc>
        <w:tc>
          <w:tcPr>
            <w:tcW w:w="112" w:type="dxa"/>
            <w:tcBorders/>
            <w:shd w:fill="CCEEFF" w:val="clear"/>
            <w:vAlign w:val="center"/>
          </w:tcPr>
          <w:p>
            <w:pPr>
              <w:pStyle w:val="TableContents"/>
              <w:bidi w:val="0"/>
              <w:spacing w:before="0" w:after="283"/>
              <w:jc w:val="left"/>
              <w:rPr/>
            </w:pPr>
            <w:r>
              <w:rPr/>
              <w:t> </w:t>
            </w:r>
            <w:bookmarkStart w:id="52" w:name="xdx_408_eus-gaap--AccruedLiabilitiesCurr"/>
            <w:bookmarkEnd w:id="52"/>
          </w:p>
        </w:tc>
      </w:tr>
      <w:tr>
        <w:trPr/>
        <w:tc>
          <w:tcPr>
            <w:tcW w:w="7668"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422</w:t>
            </w:r>
          </w:p>
        </w:tc>
        <w:tc>
          <w:tcPr>
            <w:tcW w:w="112" w:type="dxa"/>
            <w:tcBorders/>
            <w:shd w:fill="FFFFFF" w:val="clear"/>
            <w:vAlign w:val="center"/>
          </w:tcPr>
          <w:p>
            <w:pPr>
              <w:pStyle w:val="TableContents"/>
              <w:bidi w:val="0"/>
              <w:spacing w:before="0" w:after="283"/>
              <w:jc w:val="left"/>
              <w:rPr/>
            </w:pPr>
            <w:r>
              <w:rPr/>
              <w:t> </w:t>
            </w:r>
            <w:bookmarkStart w:id="53" w:name="xdx_406_eus-gaap--LongTermDebtCurrent_i0"/>
            <w:bookmarkEnd w:id="53"/>
          </w:p>
        </w:tc>
      </w:tr>
      <w:tr>
        <w:trPr/>
        <w:tc>
          <w:tcPr>
            <w:tcW w:w="7668" w:type="dxa"/>
            <w:tcBorders/>
            <w:shd w:fill="CCEEFF" w:val="clear"/>
            <w:vAlign w:val="center"/>
          </w:tcPr>
          <w:p>
            <w:pPr>
              <w:pStyle w:val="TableContents"/>
              <w:bidi w:val="0"/>
              <w:spacing w:before="0" w:after="283"/>
              <w:jc w:val="left"/>
              <w:rPr/>
            </w:pPr>
            <w:r>
              <w:rPr/>
              <w:t>Debt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7</w:t>
            </w:r>
          </w:p>
        </w:tc>
        <w:tc>
          <w:tcPr>
            <w:tcW w:w="112" w:type="dxa"/>
            <w:tcBorders/>
            <w:shd w:fill="CCEEFF" w:val="clear"/>
            <w:vAlign w:val="center"/>
          </w:tcPr>
          <w:p>
            <w:pPr>
              <w:pStyle w:val="TableContents"/>
              <w:bidi w:val="0"/>
              <w:spacing w:before="0" w:after="283"/>
              <w:jc w:val="left"/>
              <w:rPr/>
            </w:pPr>
            <w:r>
              <w:rPr/>
              <w:t> </w:t>
            </w:r>
            <w:bookmarkStart w:id="54" w:name="xdx_405_eus-gaap--DerivativeLiabilitiesC"/>
            <w:bookmarkEnd w:id="54"/>
          </w:p>
        </w:tc>
      </w:tr>
      <w:tr>
        <w:trPr/>
        <w:tc>
          <w:tcPr>
            <w:tcW w:w="7668"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827</w:t>
            </w:r>
          </w:p>
        </w:tc>
        <w:tc>
          <w:tcPr>
            <w:tcW w:w="112" w:type="dxa"/>
            <w:tcBorders/>
            <w:shd w:fill="FFFFFF" w:val="clear"/>
            <w:vAlign w:val="center"/>
          </w:tcPr>
          <w:p>
            <w:pPr>
              <w:pStyle w:val="TableContents"/>
              <w:bidi w:val="0"/>
              <w:spacing w:before="0" w:after="283"/>
              <w:jc w:val="left"/>
              <w:rPr/>
            </w:pPr>
            <w:r>
              <w:rPr/>
              <w:t> </w:t>
            </w:r>
            <w:bookmarkStart w:id="55" w:name="xdx_40A_eus-gaap--OperatingLeaseLiabilit"/>
            <w:bookmarkEnd w:id="55"/>
          </w:p>
        </w:tc>
      </w:tr>
      <w:tr>
        <w:trPr/>
        <w:tc>
          <w:tcPr>
            <w:tcW w:w="7668" w:type="dxa"/>
            <w:tcBorders/>
            <w:shd w:fill="CCEEFF" w:val="clear"/>
            <w:vAlign w:val="center"/>
          </w:tcPr>
          <w:p>
            <w:pPr>
              <w:pStyle w:val="TableContents"/>
              <w:bidi w:val="0"/>
              <w:spacing w:before="0" w:after="283"/>
              <w:jc w:val="left"/>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398</w:t>
            </w:r>
          </w:p>
        </w:tc>
        <w:tc>
          <w:tcPr>
            <w:tcW w:w="112" w:type="dxa"/>
            <w:tcBorders/>
            <w:shd w:fill="CCEEFF" w:val="clear"/>
            <w:vAlign w:val="center"/>
          </w:tcPr>
          <w:p>
            <w:pPr>
              <w:pStyle w:val="TableContents"/>
              <w:bidi w:val="0"/>
              <w:spacing w:before="0" w:after="283"/>
              <w:jc w:val="left"/>
              <w:rPr/>
            </w:pPr>
            <w:r>
              <w:rPr/>
              <w:t> </w:t>
            </w:r>
            <w:bookmarkStart w:id="56" w:name="xdx_404_eus-gaap--OtherLiabilitiesCurren"/>
            <w:bookmarkEnd w:id="56"/>
          </w:p>
        </w:tc>
      </w:tr>
      <w:tr>
        <w:trPr/>
        <w:tc>
          <w:tcPr>
            <w:tcW w:w="7668"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1,697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1,697</w:t>
            </w:r>
          </w:p>
        </w:tc>
        <w:tc>
          <w:tcPr>
            <w:tcW w:w="112" w:type="dxa"/>
            <w:tcBorders/>
            <w:shd w:fill="FFFFFF" w:val="clear"/>
            <w:vAlign w:val="center"/>
          </w:tcPr>
          <w:p>
            <w:pPr>
              <w:pStyle w:val="TableContents"/>
              <w:bidi w:val="0"/>
              <w:spacing w:before="0" w:after="283"/>
              <w:jc w:val="left"/>
              <w:rPr/>
            </w:pPr>
            <w:r>
              <w:rPr/>
              <w:t> </w:t>
            </w:r>
            <w:bookmarkStart w:id="57" w:name="xdx_40C_eus-gaap--LiabilitiesCurrent_i02"/>
            <w:bookmarkEnd w:id="57"/>
          </w:p>
        </w:tc>
      </w:tr>
      <w:tr>
        <w:trPr/>
        <w:tc>
          <w:tcPr>
            <w:tcW w:w="766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3,733</w:t>
            </w:r>
          </w:p>
        </w:tc>
        <w:tc>
          <w:tcPr>
            <w:tcW w:w="112" w:type="dxa"/>
            <w:tcBorders/>
            <w:shd w:fill="CCEEFF" w:val="clear"/>
            <w:vAlign w:val="center"/>
          </w:tcPr>
          <w:p>
            <w:pPr>
              <w:pStyle w:val="TableContents"/>
              <w:bidi w:val="0"/>
              <w:spacing w:before="0" w:after="283"/>
              <w:jc w:val="left"/>
              <w:rPr/>
            </w:pPr>
            <w:r>
              <w:rPr/>
              <w:t> </w:t>
            </w:r>
          </w:p>
        </w:tc>
      </w:tr>
      <w:tr>
        <w:trPr/>
        <w:tc>
          <w:tcPr>
            <w:tcW w:w="76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8" w:name="xdx_409_eus-gaap--OperatingLeaseLiabilit"/>
            <w:bookmarkEnd w:id="58"/>
          </w:p>
        </w:tc>
      </w:tr>
      <w:tr>
        <w:trPr/>
        <w:tc>
          <w:tcPr>
            <w:tcW w:w="766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pPr>
            <w:r>
              <w:rPr/>
              <w:t>2,735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2,844</w:t>
            </w:r>
          </w:p>
        </w:tc>
        <w:tc>
          <w:tcPr>
            <w:tcW w:w="112" w:type="dxa"/>
            <w:tcBorders/>
            <w:shd w:fill="CCEEFF" w:val="clear"/>
            <w:vAlign w:val="center"/>
          </w:tcPr>
          <w:p>
            <w:pPr>
              <w:pStyle w:val="TableContents"/>
              <w:bidi w:val="0"/>
              <w:spacing w:before="0" w:after="283"/>
              <w:jc w:val="left"/>
              <w:rPr/>
            </w:pPr>
            <w:r>
              <w:rPr/>
              <w:t> </w:t>
            </w:r>
            <w:bookmarkStart w:id="59" w:name="xdx_405_eus-gaap--Liabilities_i01TI_mtCz"/>
            <w:bookmarkEnd w:id="59"/>
          </w:p>
        </w:tc>
      </w:tr>
      <w:tr>
        <w:trPr/>
        <w:tc>
          <w:tcPr>
            <w:tcW w:w="766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6,907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6,577</w:t>
            </w:r>
          </w:p>
        </w:tc>
        <w:tc>
          <w:tcPr>
            <w:tcW w:w="112" w:type="dxa"/>
            <w:tcBorders/>
            <w:shd w:fill="FFFFFF" w:val="clear"/>
            <w:vAlign w:val="center"/>
          </w:tcPr>
          <w:p>
            <w:pPr>
              <w:pStyle w:val="TableContents"/>
              <w:bidi w:val="0"/>
              <w:spacing w:before="0" w:after="283"/>
              <w:jc w:val="left"/>
              <w:rPr/>
            </w:pPr>
            <w:r>
              <w:rPr/>
              <w:t> </w:t>
            </w:r>
          </w:p>
        </w:tc>
      </w:tr>
      <w:tr>
        <w:trPr/>
        <w:tc>
          <w:tcPr>
            <w:tcW w:w="76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0" w:name="xdx_405_eus-gaap--CommitmentsAndContinge"/>
            <w:bookmarkEnd w:id="60"/>
          </w:p>
        </w:tc>
      </w:tr>
      <w:tr>
        <w:trPr/>
        <w:tc>
          <w:tcPr>
            <w:tcW w:w="7668"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6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68"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F_eus-gaap--PreferredStockValue_i0"/>
            <w:bookmarkEnd w:id="61"/>
          </w:p>
        </w:tc>
      </w:tr>
      <w:tr>
        <w:trPr/>
        <w:tc>
          <w:tcPr>
            <w:tcW w:w="7668" w:type="dxa"/>
            <w:tcBorders/>
            <w:shd w:fill="CCEEFF" w:val="clear"/>
            <w:vAlign w:val="center"/>
          </w:tcPr>
          <w:p>
            <w:pPr>
              <w:pStyle w:val="TableContents"/>
              <w:bidi w:val="0"/>
              <w:spacing w:before="0" w:after="283"/>
              <w:jc w:val="left"/>
              <w:rPr/>
            </w:pPr>
            <w:r>
              <w:rPr/>
              <w:t>Convertible preferred stock Series B, $</w:t>
            </w:r>
            <w:bookmarkStart w:id="62" w:name="xdx_90E_eus-gaap--PreferredStockParOrSta"/>
            <w:bookmarkStart w:id="63" w:name="xdx_900_eus-gaap--PreferredStockParOrSta"/>
            <w:bookmarkEnd w:id="62"/>
            <w:bookmarkEnd w:id="63"/>
            <w:r>
              <w:rPr/>
              <w:t xml:space="preserve">0.01 par value, </w:t>
            </w:r>
            <w:bookmarkStart w:id="64" w:name="xdx_90F_eus-gaap--PreferredStockSharesAu"/>
            <w:bookmarkStart w:id="65" w:name="xdx_907_eus-gaap--PreferredStockSharesAu"/>
            <w:bookmarkEnd w:id="64"/>
            <w:bookmarkEnd w:id="65"/>
            <w:r>
              <w:rPr/>
              <w:t xml:space="preserve">130,000,000 total shares authorized inclusive of all series of preferred; </w:t>
            </w:r>
            <w:bookmarkStart w:id="66" w:name="xdx_900_eus-gaap--PreferredStockSharesOu"/>
            <w:bookmarkStart w:id="67" w:name="xdx_909_eus-gaap--PreferredStockSharesIs"/>
            <w:bookmarkStart w:id="68" w:name="xdx_90E_eus-gaap--PreferredStockSharesOu"/>
            <w:bookmarkStart w:id="69" w:name="xdx_901_eus-gaap--PreferredStockSharesIs"/>
            <w:bookmarkEnd w:id="66"/>
            <w:bookmarkEnd w:id="67"/>
            <w:bookmarkEnd w:id="68"/>
            <w:bookmarkEnd w:id="69"/>
            <w:r>
              <w:rPr/>
              <w:t>19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70" w:name="xdx_404_eus-gaap--PreferredStockValue_i0"/>
            <w:bookmarkEnd w:id="70"/>
          </w:p>
        </w:tc>
      </w:tr>
      <w:tr>
        <w:trPr/>
        <w:tc>
          <w:tcPr>
            <w:tcW w:w="7668" w:type="dxa"/>
            <w:tcBorders/>
            <w:shd w:fill="FFFFFF" w:val="clear"/>
            <w:vAlign w:val="center"/>
          </w:tcPr>
          <w:p>
            <w:pPr>
              <w:pStyle w:val="TableContents"/>
              <w:bidi w:val="0"/>
              <w:spacing w:before="0" w:after="283"/>
              <w:jc w:val="left"/>
              <w:rPr/>
            </w:pPr>
            <w:r>
              <w:rPr/>
              <w:t>Convertible preferred stock Series C, $</w:t>
            </w:r>
            <w:bookmarkStart w:id="71" w:name="xdx_904_eus-gaap--PreferredStockParOrSta"/>
            <w:bookmarkStart w:id="72" w:name="xdx_901_eus-gaap--PreferredStockParOrSta"/>
            <w:bookmarkEnd w:id="71"/>
            <w:bookmarkEnd w:id="72"/>
            <w:r>
              <w:rPr/>
              <w:t xml:space="preserve">0.01 par value, </w:t>
            </w:r>
            <w:bookmarkStart w:id="73" w:name="xdx_90F_eus-gaap--PreferredStockSharesAu"/>
            <w:bookmarkStart w:id="74" w:name="xdx_90E_eus-gaap--PreferredStockSharesAu"/>
            <w:bookmarkEnd w:id="73"/>
            <w:bookmarkEnd w:id="74"/>
            <w:r>
              <w:rPr/>
              <w:t xml:space="preserve">130,000,000 total shares authorized inclusive of all series of preferred; </w:t>
            </w:r>
            <w:bookmarkStart w:id="75" w:name="xdx_900_eus-gaap--PreferredStockSharesOu"/>
            <w:bookmarkStart w:id="76" w:name="xdx_900_eus-gaap--PreferredStockSharesIs"/>
            <w:bookmarkStart w:id="77" w:name="xdx_90A_eus-gaap--PreferredStockSharesOu"/>
            <w:bookmarkStart w:id="78" w:name="xdx_90B_eus-gaap--PreferredStockSharesIs"/>
            <w:bookmarkEnd w:id="75"/>
            <w:bookmarkEnd w:id="76"/>
            <w:bookmarkEnd w:id="77"/>
            <w:bookmarkEnd w:id="78"/>
            <w:r>
              <w:rPr/>
              <w:t>50 shares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79" w:name="xdx_40A_eus-gaap--PreferredStockValue_i0"/>
            <w:bookmarkEnd w:id="79"/>
          </w:p>
        </w:tc>
      </w:tr>
      <w:tr>
        <w:trPr/>
        <w:tc>
          <w:tcPr>
            <w:tcW w:w="7668" w:type="dxa"/>
            <w:tcBorders/>
            <w:shd w:fill="CCEEFF" w:val="clear"/>
            <w:vAlign w:val="center"/>
          </w:tcPr>
          <w:p>
            <w:pPr>
              <w:pStyle w:val="TableContents"/>
              <w:bidi w:val="0"/>
              <w:spacing w:before="0" w:after="283"/>
              <w:jc w:val="left"/>
              <w:rPr/>
            </w:pPr>
            <w:r>
              <w:rPr/>
              <w:t>Convertible preferred stock Series D, $</w:t>
            </w:r>
            <w:bookmarkStart w:id="80" w:name="xdx_900_eus-gaap--PreferredStockParOrSta"/>
            <w:bookmarkStart w:id="81" w:name="xdx_907_eus-gaap--PreferredStockParOrSta"/>
            <w:bookmarkEnd w:id="80"/>
            <w:bookmarkEnd w:id="81"/>
            <w:r>
              <w:rPr/>
              <w:t xml:space="preserve">0.01 par value, </w:t>
            </w:r>
            <w:bookmarkStart w:id="82" w:name="xdx_90E_eus-gaap--PreferredStockSharesAu"/>
            <w:bookmarkStart w:id="83" w:name="xdx_903_eus-gaap--PreferredStockSharesAu"/>
            <w:bookmarkEnd w:id="82"/>
            <w:bookmarkEnd w:id="83"/>
            <w:r>
              <w:rPr/>
              <w:t xml:space="preserve">130,000,000 total shares authorized inclusive of all series of preferred; </w:t>
            </w:r>
            <w:bookmarkStart w:id="84" w:name="xdx_905_eus-gaap--PreferredStockSharesOu"/>
            <w:bookmarkStart w:id="85" w:name="xdx_909_eus-gaap--PreferredStockSharesIs"/>
            <w:bookmarkStart w:id="86" w:name="xdx_903_eus-gaap--PreferredStockSharesOu"/>
            <w:bookmarkStart w:id="87" w:name="xdx_905_eus-gaap--PreferredStockSharesIs"/>
            <w:bookmarkEnd w:id="84"/>
            <w:bookmarkEnd w:id="85"/>
            <w:bookmarkEnd w:id="86"/>
            <w:bookmarkEnd w:id="87"/>
            <w:r>
              <w:rPr/>
              <w:t>180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88" w:name="xdx_40C_eus-gaap--PreferredStockValue_i0"/>
            <w:bookmarkEnd w:id="88"/>
          </w:p>
        </w:tc>
      </w:tr>
      <w:tr>
        <w:trPr/>
        <w:tc>
          <w:tcPr>
            <w:tcW w:w="7668" w:type="dxa"/>
            <w:tcBorders/>
            <w:shd w:fill="CCEEFF" w:val="clear"/>
            <w:vAlign w:val="center"/>
          </w:tcPr>
          <w:p>
            <w:pPr>
              <w:pStyle w:val="TableContents"/>
              <w:bidi w:val="0"/>
              <w:spacing w:before="0" w:after="283"/>
              <w:jc w:val="left"/>
              <w:rPr/>
            </w:pPr>
            <w:r>
              <w:rPr/>
              <w:t>Convertible preferred stock,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9" w:name="xdx_404_eus-gaap--CommonStockValue_i02I_"/>
            <w:bookmarkEnd w:id="89"/>
          </w:p>
        </w:tc>
      </w:tr>
      <w:tr>
        <w:trPr/>
        <w:tc>
          <w:tcPr>
            <w:tcW w:w="7668" w:type="dxa"/>
            <w:tcBorders/>
            <w:shd w:fill="CCEEFF" w:val="clear"/>
            <w:vAlign w:val="center"/>
          </w:tcPr>
          <w:p>
            <w:pPr>
              <w:pStyle w:val="TableContents"/>
              <w:bidi w:val="0"/>
              <w:spacing w:before="0" w:after="283"/>
              <w:jc w:val="left"/>
              <w:rPr/>
            </w:pPr>
            <w:r>
              <w:rPr/>
              <w:t>Common stock, $</w:t>
            </w:r>
            <w:bookmarkStart w:id="90" w:name="xdx_90D_eus-gaap--CommonStockParOrStated"/>
            <w:bookmarkStart w:id="91" w:name="xdx_90C_eus-gaap--CommonStockParOrStated"/>
            <w:bookmarkEnd w:id="90"/>
            <w:bookmarkEnd w:id="91"/>
            <w:r>
              <w:rPr/>
              <w:t xml:space="preserve">0.01 par value, </w:t>
            </w:r>
            <w:bookmarkStart w:id="92" w:name="xdx_905_eus-gaap--CommonStockSharesAutho"/>
            <w:bookmarkStart w:id="93" w:name="xdx_909_eus-gaap--CommonStockSharesAutho"/>
            <w:bookmarkEnd w:id="92"/>
            <w:bookmarkEnd w:id="93"/>
            <w:r>
              <w:rPr/>
              <w:t xml:space="preserve">250,000,000 shares authorized; </w:t>
            </w:r>
            <w:bookmarkStart w:id="94" w:name="xdx_90C_eus-gaap--CommonStockSharesIssue"/>
            <w:bookmarkEnd w:id="94"/>
            <w:r>
              <w:rPr/>
              <w:t xml:space="preserve">4,169,535 and </w:t>
            </w:r>
            <w:bookmarkStart w:id="95" w:name="xdx_902_eus-gaap--CommonStockSharesIssue"/>
            <w:bookmarkEnd w:id="95"/>
            <w:r>
              <w:rPr/>
              <w:t xml:space="preserve">4,021,293 shares issued and </w:t>
            </w:r>
            <w:bookmarkStart w:id="96" w:name="xdx_908_eus-gaap--CommonStockSharesOutst"/>
            <w:bookmarkEnd w:id="96"/>
            <w:r>
              <w:rPr/>
              <w:t xml:space="preserve">4,119,111 and </w:t>
            </w:r>
            <w:bookmarkStart w:id="97" w:name="xdx_907_eus-gaap--CommonStockSharesOutst"/>
            <w:bookmarkEnd w:id="97"/>
            <w:r>
              <w:rPr/>
              <w:t>3,970,869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40</w:t>
            </w:r>
          </w:p>
        </w:tc>
        <w:tc>
          <w:tcPr>
            <w:tcW w:w="112" w:type="dxa"/>
            <w:tcBorders/>
            <w:shd w:fill="CCEEFF" w:val="clear"/>
            <w:vAlign w:val="center"/>
          </w:tcPr>
          <w:p>
            <w:pPr>
              <w:pStyle w:val="TableContents"/>
              <w:bidi w:val="0"/>
              <w:spacing w:before="0" w:after="283"/>
              <w:jc w:val="left"/>
              <w:rPr/>
            </w:pPr>
            <w:r>
              <w:rPr/>
              <w:t> </w:t>
            </w:r>
            <w:bookmarkStart w:id="98" w:name="xdx_404_eus-gaap--TreasuryStockValue_i02"/>
            <w:bookmarkEnd w:id="98"/>
          </w:p>
        </w:tc>
      </w:tr>
      <w:tr>
        <w:trPr/>
        <w:tc>
          <w:tcPr>
            <w:tcW w:w="7668" w:type="dxa"/>
            <w:tcBorders/>
            <w:shd w:fill="FFFFFF" w:val="clear"/>
            <w:vAlign w:val="center"/>
          </w:tcPr>
          <w:p>
            <w:pPr>
              <w:pStyle w:val="TableContents"/>
              <w:bidi w:val="0"/>
              <w:spacing w:before="0" w:after="283"/>
              <w:jc w:val="left"/>
              <w:rPr/>
            </w:pPr>
            <w:r>
              <w:rPr/>
              <w:t xml:space="preserve">Treasury Stock, </w:t>
            </w:r>
            <w:bookmarkStart w:id="99" w:name="xdx_90E_eus-gaap--TreasuryStockCommonSha"/>
            <w:bookmarkStart w:id="100" w:name="xdx_907_eus-gaap--TreasuryStockCommonSha"/>
            <w:bookmarkEnd w:id="99"/>
            <w:bookmarkEnd w:id="100"/>
            <w:r>
              <w:rPr/>
              <w:t>50,424 shares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(133</w:t>
            </w:r>
          </w:p>
        </w:tc>
        <w:tc>
          <w:tcPr>
            <w:tcW w:w="112" w:type="dxa"/>
            <w:tcBorders/>
            <w:shd w:fill="FFFFFF" w:val="clear"/>
            <w:vAlign w:val="center"/>
          </w:tcPr>
          <w:p>
            <w:pPr>
              <w:pStyle w:val="TableContents"/>
              <w:bidi w:val="0"/>
              <w:spacing w:before="0" w:after="283"/>
              <w:jc w:val="left"/>
              <w:rPr/>
            </w:pPr>
            <w:r>
              <w:rPr/>
              <w:t>)</w:t>
            </w:r>
            <w:bookmarkStart w:id="101" w:name="xdx_40C_eus-gaap--AdditionalPaidInCapita"/>
            <w:bookmarkEnd w:id="101"/>
          </w:p>
        </w:tc>
      </w:tr>
      <w:tr>
        <w:trPr/>
        <w:tc>
          <w:tcPr>
            <w:tcW w:w="766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295,918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295,124</w:t>
            </w:r>
          </w:p>
        </w:tc>
        <w:tc>
          <w:tcPr>
            <w:tcW w:w="112" w:type="dxa"/>
            <w:tcBorders/>
            <w:shd w:fill="CCEEFF" w:val="clear"/>
            <w:vAlign w:val="center"/>
          </w:tcPr>
          <w:p>
            <w:pPr>
              <w:pStyle w:val="TableContents"/>
              <w:bidi w:val="0"/>
              <w:spacing w:before="0" w:after="283"/>
              <w:jc w:val="left"/>
              <w:rPr/>
            </w:pPr>
            <w:r>
              <w:rPr/>
              <w:t> </w:t>
            </w:r>
            <w:bookmarkStart w:id="102" w:name="xdx_400_eus-gaap--RetainedEarningsAccumu"/>
            <w:bookmarkEnd w:id="102"/>
          </w:p>
        </w:tc>
      </w:tr>
      <w:tr>
        <w:trPr/>
        <w:tc>
          <w:tcPr>
            <w:tcW w:w="766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(294,923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pPr>
            <w:r>
              <w:rPr/>
              <w:t>(292,102</w:t>
            </w:r>
          </w:p>
        </w:tc>
        <w:tc>
          <w:tcPr>
            <w:tcW w:w="112" w:type="dxa"/>
            <w:tcBorders/>
            <w:shd w:fill="FFFFFF" w:val="clear"/>
            <w:vAlign w:val="center"/>
          </w:tcPr>
          <w:p>
            <w:pPr>
              <w:pStyle w:val="TableContents"/>
              <w:bidi w:val="0"/>
              <w:spacing w:before="0" w:after="283"/>
              <w:jc w:val="left"/>
              <w:rPr/>
            </w:pPr>
            <w:r>
              <w:rPr/>
              <w:t>)</w:t>
            </w:r>
            <w:bookmarkStart w:id="103" w:name="xdx_404_eus-gaap--StockholdersEquity_i02"/>
            <w:bookmarkEnd w:id="103"/>
          </w:p>
        </w:tc>
      </w:tr>
      <w:tr>
        <w:trPr/>
        <w:tc>
          <w:tcPr>
            <w:tcW w:w="7668"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pPr>
            <w:r>
              <w:rPr/>
              <w:t>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2,929</w:t>
            </w:r>
          </w:p>
        </w:tc>
        <w:tc>
          <w:tcPr>
            <w:tcW w:w="112" w:type="dxa"/>
            <w:tcBorders/>
            <w:shd w:fill="CCEEFF" w:val="clear"/>
            <w:vAlign w:val="center"/>
          </w:tcPr>
          <w:p>
            <w:pPr>
              <w:pStyle w:val="TableContents"/>
              <w:bidi w:val="0"/>
              <w:spacing w:before="0" w:after="283"/>
              <w:jc w:val="left"/>
              <w:rPr/>
            </w:pPr>
            <w:r>
              <w:rPr/>
              <w:t> </w:t>
            </w:r>
            <w:bookmarkStart w:id="104" w:name="xdx_40D_eus-gaap--LiabilitiesAndStockhol"/>
            <w:bookmarkEnd w:id="104"/>
          </w:p>
        </w:tc>
      </w:tr>
      <w:tr>
        <w:trPr/>
        <w:tc>
          <w:tcPr>
            <w:tcW w:w="7668"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pPr>
            <w:r>
              <w:rPr/>
              <w:t>7,811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pPr>
            <w:r>
              <w:rPr/>
              <w:t>9,506</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condensed consolidated balance sheet as of December 31, 2025, has been prepared using information from the audited consolidated balance sheet as of that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5" w:name="a_002"/>
      <w:bookmarkEnd w:id="105"/>
      <w:r>
        <w:rPr>
          <w:rFonts w:ascii="Times New Roman;Times;Serif" w:hAnsi="Times New Roman;Times;Serif"/>
          <w:b/>
          <w:i w:val="false"/>
          <w:caps w:val="false"/>
          <w:smallCaps w:val="false"/>
          <w:sz w:val="20"/>
        </w:rPr>
        <w:t>Condensed Consolidated Statements of Operations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1_113_pn3n3_zXRrOpejRx4i"/>
      <w:bookmarkStart w:id="107" w:name="xdx_301_113_pn3n3_zXRrOpejRx4i"/>
      <w:bookmarkEnd w:id="107"/>
    </w:p>
    <w:tbl>
      <w:tblPr>
        <w:tblW w:w="7978" w:type="dxa"/>
        <w:jc w:val="left"/>
        <w:tblInd w:w="0" w:type="dxa"/>
        <w:tblLayout w:type="fixed"/>
        <w:tblCellMar>
          <w:top w:w="0" w:type="dxa"/>
          <w:left w:w="0" w:type="dxa"/>
          <w:bottom w:w="0" w:type="dxa"/>
          <w:right w:w="0" w:type="dxa"/>
        </w:tblCellMar>
      </w:tblPr>
      <w:tblGrid>
        <w:gridCol w:w="4490"/>
        <w:gridCol w:w="60"/>
        <w:gridCol w:w="194"/>
        <w:gridCol w:w="1358"/>
        <w:gridCol w:w="131"/>
        <w:gridCol w:w="83"/>
        <w:gridCol w:w="194"/>
        <w:gridCol w:w="1358"/>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92_20260101__20260331_zNd38XbhEUhj"/>
            <w:bookmarkEnd w:id="108"/>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109" w:name="xdx_49C_20250101__20250331_zn5PP8PXMnV3"/>
            <w:bookmarkEnd w:id="109"/>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10" w:name="xdx_405_eus-gaap--RevenueFromContractWit"/>
            <w:bookmarkEnd w:id="110"/>
          </w:p>
        </w:tc>
      </w:tr>
      <w:tr>
        <w:trPr/>
        <w:tc>
          <w:tcPr>
            <w:tcW w:w="4490" w:type="dxa"/>
            <w:tcBorders/>
            <w:shd w:fill="CCEEFF" w:val="clear"/>
            <w:vAlign w:val="center"/>
          </w:tcPr>
          <w:p>
            <w:pPr>
              <w:pStyle w:val="TableContents"/>
              <w:bidi w:val="0"/>
              <w:spacing w:before="0" w:after="283"/>
              <w:jc w:val="left"/>
              <w:rPr/>
            </w:pPr>
            <w:r>
              <w:rPr/>
              <w:t>Product revenue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300</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291</w:t>
            </w:r>
          </w:p>
        </w:tc>
        <w:tc>
          <w:tcPr>
            <w:tcW w:w="110" w:type="dxa"/>
            <w:tcBorders/>
            <w:shd w:fill="CCEEFF" w:val="clear"/>
            <w:vAlign w:val="center"/>
          </w:tcPr>
          <w:p>
            <w:pPr>
              <w:pStyle w:val="TableContents"/>
              <w:bidi w:val="0"/>
              <w:spacing w:before="0" w:after="283"/>
              <w:jc w:val="left"/>
              <w:rPr/>
            </w:pPr>
            <w:r>
              <w:rPr/>
              <w:t> </w:t>
            </w:r>
            <w:bookmarkStart w:id="111" w:name="xdx_406_eus-gaap--RevenueFromContractWit"/>
            <w:bookmarkEnd w:id="111"/>
          </w:p>
        </w:tc>
      </w:tr>
      <w:tr>
        <w:trPr/>
        <w:tc>
          <w:tcPr>
            <w:tcW w:w="4490" w:type="dxa"/>
            <w:tcBorders/>
            <w:shd w:fill="FFFFFF" w:val="clear"/>
            <w:vAlign w:val="center"/>
          </w:tcPr>
          <w:p>
            <w:pPr>
              <w:pStyle w:val="TableContents"/>
              <w:bidi w:val="0"/>
              <w:spacing w:before="0" w:after="283"/>
              <w:jc w:val="left"/>
              <w:rPr/>
            </w:pPr>
            <w:r>
              <w:rPr/>
              <w:t>Grant and contract revenue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110" w:type="dxa"/>
            <w:tcBorders/>
            <w:shd w:fill="FFFFFF" w:val="clear"/>
            <w:vAlign w:val="center"/>
          </w:tcPr>
          <w:p>
            <w:pPr>
              <w:pStyle w:val="TableContents"/>
              <w:bidi w:val="0"/>
              <w:spacing w:before="0" w:after="283"/>
              <w:jc w:val="left"/>
              <w:rPr/>
            </w:pPr>
            <w:r>
              <w:rPr/>
              <w:t> </w:t>
            </w:r>
            <w:bookmarkStart w:id="112" w:name="xdx_405_eus-gaap--RevenueFromContractWit"/>
            <w:bookmarkEnd w:id="112"/>
          </w:p>
        </w:tc>
      </w:tr>
      <w:tr>
        <w:trPr/>
        <w:tc>
          <w:tcPr>
            <w:tcW w:w="449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380</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369</w:t>
            </w:r>
          </w:p>
        </w:tc>
        <w:tc>
          <w:tcPr>
            <w:tcW w:w="110" w:type="dxa"/>
            <w:tcBorders/>
            <w:shd w:fill="CCEEFF" w:val="clear"/>
            <w:vAlign w:val="center"/>
          </w:tcPr>
          <w:p>
            <w:pPr>
              <w:pStyle w:val="TableContents"/>
              <w:bidi w:val="0"/>
              <w:spacing w:before="0" w:after="283"/>
              <w:jc w:val="left"/>
              <w:rPr/>
            </w:pPr>
            <w:r>
              <w:rPr/>
              <w:t> </w:t>
            </w:r>
            <w:bookmarkStart w:id="113" w:name="xdx_402_eus-gaap--CostOfRevenue_msCzUvG_"/>
            <w:bookmarkEnd w:id="113"/>
          </w:p>
        </w:tc>
      </w:tr>
      <w:tr>
        <w:trPr/>
        <w:tc>
          <w:tcPr>
            <w:tcW w:w="4490" w:type="dxa"/>
            <w:tcBorders/>
            <w:shd w:fill="FFFFFF" w:val="clear"/>
            <w:vAlign w:val="center"/>
          </w:tcPr>
          <w:p>
            <w:pPr>
              <w:pStyle w:val="TableContents"/>
              <w:bidi w:val="0"/>
              <w:spacing w:before="0" w:after="283"/>
              <w:jc w:val="left"/>
              <w:rPr/>
            </w:pPr>
            <w:r>
              <w:rPr/>
              <w:t>Costs of revenue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jc w:val="left"/>
              <w:rPr/>
            </w:pPr>
            <w:r>
              <w:rPr/>
              <w:t> </w:t>
            </w:r>
            <w:bookmarkStart w:id="114" w:name="xdx_409_eus-gaap--GrossProfit_iT_mtCzUvG"/>
            <w:bookmarkEnd w:id="114"/>
          </w:p>
        </w:tc>
      </w:tr>
      <w:tr>
        <w:trPr/>
        <w:tc>
          <w:tcPr>
            <w:tcW w:w="44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144</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123</w:t>
            </w:r>
          </w:p>
        </w:tc>
        <w:tc>
          <w:tcPr>
            <w:tcW w:w="110" w:type="dxa"/>
            <w:tcBorders/>
            <w:shd w:fill="CCEEFF" w:val="clear"/>
            <w:vAlign w:val="center"/>
          </w:tcPr>
          <w:p>
            <w:pPr>
              <w:pStyle w:val="TableContents"/>
              <w:bidi w:val="0"/>
              <w:spacing w:before="0" w:after="283"/>
              <w:jc w:val="left"/>
              <w:rPr/>
            </w:pPr>
            <w:r>
              <w:rPr/>
              <w:t> </w:t>
            </w:r>
            <w:bookmarkStart w:id="115" w:name="xdx_40B_eus-gaap--OperatingExpensesAbstr"/>
            <w:bookmarkEnd w:id="115"/>
          </w:p>
        </w:tc>
      </w:tr>
      <w:tr>
        <w:trPr/>
        <w:tc>
          <w:tcPr>
            <w:tcW w:w="44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C_eus-gaap--ResearchAndDevelopment"/>
            <w:bookmarkEnd w:id="116"/>
          </w:p>
        </w:tc>
      </w:tr>
      <w:tr>
        <w:trPr/>
        <w:tc>
          <w:tcPr>
            <w:tcW w:w="44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364</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1,116</w:t>
            </w:r>
          </w:p>
        </w:tc>
        <w:tc>
          <w:tcPr>
            <w:tcW w:w="110" w:type="dxa"/>
            <w:tcBorders/>
            <w:shd w:fill="CCEEFF" w:val="clear"/>
            <w:vAlign w:val="center"/>
          </w:tcPr>
          <w:p>
            <w:pPr>
              <w:pStyle w:val="TableContents"/>
              <w:bidi w:val="0"/>
              <w:spacing w:before="0" w:after="283"/>
              <w:jc w:val="left"/>
              <w:rPr/>
            </w:pPr>
            <w:r>
              <w:rPr/>
              <w:t> </w:t>
            </w:r>
            <w:bookmarkStart w:id="117" w:name="xdx_40E_eus-gaap--GeneralAndAdministrati"/>
            <w:bookmarkEnd w:id="117"/>
          </w:p>
        </w:tc>
      </w:tr>
      <w:tr>
        <w:trPr/>
        <w:tc>
          <w:tcPr>
            <w:tcW w:w="44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2,535</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1,319</w:t>
            </w:r>
          </w:p>
        </w:tc>
        <w:tc>
          <w:tcPr>
            <w:tcW w:w="110" w:type="dxa"/>
            <w:tcBorders/>
            <w:shd w:fill="FFFFFF" w:val="clear"/>
            <w:vAlign w:val="center"/>
          </w:tcPr>
          <w:p>
            <w:pPr>
              <w:pStyle w:val="TableContents"/>
              <w:bidi w:val="0"/>
              <w:spacing w:before="0" w:after="283"/>
              <w:jc w:val="left"/>
              <w:rPr/>
            </w:pPr>
            <w:r>
              <w:rPr/>
              <w:t> </w:t>
            </w:r>
            <w:bookmarkStart w:id="118" w:name="xdx_40A_eus-gaap--SellingAndMarketingExp"/>
            <w:bookmarkEnd w:id="118"/>
          </w:p>
        </w:tc>
      </w:tr>
      <w:tr>
        <w:trPr/>
        <w:tc>
          <w:tcPr>
            <w:tcW w:w="449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399</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 </w:t>
            </w:r>
            <w:bookmarkStart w:id="119" w:name="xdx_405_ecustom--GrantExpenses_i01_maCz7"/>
            <w:bookmarkEnd w:id="119"/>
          </w:p>
        </w:tc>
      </w:tr>
      <w:tr>
        <w:trPr/>
        <w:tc>
          <w:tcPr>
            <w:tcW w:w="4490" w:type="dxa"/>
            <w:tcBorders/>
            <w:shd w:fill="FFFFFF" w:val="clear"/>
            <w:vAlign w:val="center"/>
          </w:tcPr>
          <w:p>
            <w:pPr>
              <w:pStyle w:val="TableContents"/>
              <w:bidi w:val="0"/>
              <w:spacing w:before="0" w:after="283"/>
              <w:jc w:val="left"/>
              <w:rPr/>
            </w:pPr>
            <w:r>
              <w:rPr/>
              <w:t>Grant and contract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110" w:type="dxa"/>
            <w:tcBorders/>
            <w:shd w:fill="FFFFFF" w:val="clear"/>
            <w:vAlign w:val="center"/>
          </w:tcPr>
          <w:p>
            <w:pPr>
              <w:pStyle w:val="TableContents"/>
              <w:bidi w:val="0"/>
              <w:spacing w:before="0" w:after="283"/>
              <w:jc w:val="left"/>
              <w:rPr/>
            </w:pPr>
            <w:r>
              <w:rPr/>
              <w:t> </w:t>
            </w:r>
            <w:bookmarkStart w:id="120" w:name="xdx_40D_eus-gaap--OperatingExpenses_i01T"/>
            <w:bookmarkEnd w:id="120"/>
          </w:p>
        </w:tc>
      </w:tr>
      <w:tr>
        <w:trPr/>
        <w:tc>
          <w:tcPr>
            <w:tcW w:w="44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3,351</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2,506</w:t>
            </w:r>
          </w:p>
        </w:tc>
        <w:tc>
          <w:tcPr>
            <w:tcW w:w="110" w:type="dxa"/>
            <w:tcBorders/>
            <w:shd w:fill="CCEEFF" w:val="clear"/>
            <w:vAlign w:val="center"/>
          </w:tcPr>
          <w:p>
            <w:pPr>
              <w:pStyle w:val="TableContents"/>
              <w:bidi w:val="0"/>
              <w:spacing w:before="0" w:after="283"/>
              <w:jc w:val="left"/>
              <w:rPr/>
            </w:pPr>
            <w:r>
              <w:rPr/>
              <w:t> </w:t>
            </w:r>
            <w:bookmarkStart w:id="121" w:name="xdx_40B_eus-gaap--OperatingIncomeLoss_iT"/>
            <w:bookmarkEnd w:id="121"/>
          </w:p>
        </w:tc>
      </w:tr>
      <w:tr>
        <w:trPr/>
        <w:tc>
          <w:tcPr>
            <w:tcW w:w="449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(3,207</w:t>
            </w:r>
          </w:p>
        </w:tc>
        <w:tc>
          <w:tcPr>
            <w:tcW w:w="131"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(2,383</w:t>
            </w:r>
          </w:p>
        </w:tc>
        <w:tc>
          <w:tcPr>
            <w:tcW w:w="110" w:type="dxa"/>
            <w:tcBorders/>
            <w:shd w:fill="FFFFFF" w:val="clear"/>
            <w:vAlign w:val="center"/>
          </w:tcPr>
          <w:p>
            <w:pPr>
              <w:pStyle w:val="TableContents"/>
              <w:bidi w:val="0"/>
              <w:spacing w:before="0" w:after="283"/>
              <w:jc w:val="left"/>
              <w:rPr/>
            </w:pPr>
            <w:r>
              <w:rPr/>
              <w:t>)</w:t>
            </w:r>
            <w:bookmarkStart w:id="122" w:name="xdx_409_eus-gaap--NonoperatingIncomeExpe"/>
            <w:bookmarkEnd w:id="122"/>
          </w:p>
        </w:tc>
      </w:tr>
      <w:tr>
        <w:trPr/>
        <w:tc>
          <w:tcPr>
            <w:tcW w:w="4490"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3" w:name="xdx_40D_eus-gaap--InterestExpenseOther_i"/>
            <w:bookmarkEnd w:id="123"/>
          </w:p>
        </w:tc>
      </w:tr>
      <w:tr>
        <w:trPr/>
        <w:tc>
          <w:tcPr>
            <w:tcW w:w="44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(12</w:t>
            </w:r>
          </w:p>
        </w:tc>
        <w:tc>
          <w:tcPr>
            <w:tcW w:w="131"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bookmarkStart w:id="124" w:name="xdx_401_eus-gaap--InterestIncomeOther_i0"/>
            <w:bookmarkEnd w:id="124"/>
          </w:p>
        </w:tc>
      </w:tr>
      <w:tr>
        <w:trPr/>
        <w:tc>
          <w:tcPr>
            <w:tcW w:w="44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22</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bookmarkStart w:id="125" w:name="xdx_40E_ecustom--ChangeInFairValueOfDeri"/>
            <w:bookmarkEnd w:id="125"/>
          </w:p>
        </w:tc>
      </w:tr>
      <w:tr>
        <w:trPr/>
        <w:tc>
          <w:tcPr>
            <w:tcW w:w="449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343</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 </w:t>
            </w:r>
            <w:bookmarkStart w:id="126" w:name="xdx_403_eus-gaap--GainLossOnDispositionO"/>
            <w:bookmarkEnd w:id="126"/>
          </w:p>
        </w:tc>
      </w:tr>
      <w:tr>
        <w:trPr/>
        <w:tc>
          <w:tcPr>
            <w:tcW w:w="4490" w:type="dxa"/>
            <w:tcBorders/>
            <w:shd w:fill="CCEEFF" w:val="clear"/>
            <w:vAlign w:val="center"/>
          </w:tcPr>
          <w:p>
            <w:pPr>
              <w:pStyle w:val="TableContents"/>
              <w:bidi w:val="0"/>
              <w:spacing w:before="0" w:after="283"/>
              <w:jc w:val="left"/>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w:t>
            </w:r>
            <w:bookmarkStart w:id="127" w:name="xdx_407_eus-gaap--OtherNonoperatingIncom"/>
            <w:bookmarkEnd w:id="127"/>
          </w:p>
        </w:tc>
      </w:tr>
      <w:tr>
        <w:trPr/>
        <w:tc>
          <w:tcPr>
            <w:tcW w:w="449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128" w:name="xdx_401_eus-gaap--NonoperatingIncomeExpe"/>
            <w:bookmarkEnd w:id="128"/>
          </w:p>
        </w:tc>
      </w:tr>
      <w:tr>
        <w:trPr/>
        <w:tc>
          <w:tcPr>
            <w:tcW w:w="449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386</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 </w:t>
            </w:r>
            <w:bookmarkStart w:id="129" w:name="xdx_408_eus-gaap--IncomeLossFromContinui"/>
            <w:bookmarkEnd w:id="129"/>
          </w:p>
        </w:tc>
      </w:tr>
      <w:tr>
        <w:trPr/>
        <w:tc>
          <w:tcPr>
            <w:tcW w:w="4490"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(2,821</w:t>
            </w:r>
          </w:p>
        </w:tc>
        <w:tc>
          <w:tcPr>
            <w:tcW w:w="131"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(2,292</w:t>
            </w:r>
          </w:p>
        </w:tc>
        <w:tc>
          <w:tcPr>
            <w:tcW w:w="110" w:type="dxa"/>
            <w:tcBorders/>
            <w:shd w:fill="FFFFFF" w:val="clear"/>
            <w:vAlign w:val="center"/>
          </w:tcPr>
          <w:p>
            <w:pPr>
              <w:pStyle w:val="TableContents"/>
              <w:bidi w:val="0"/>
              <w:spacing w:before="0" w:after="283"/>
              <w:jc w:val="left"/>
              <w:rPr/>
            </w:pPr>
            <w:r>
              <w:rPr/>
              <w:t>)</w:t>
            </w:r>
            <w:bookmarkStart w:id="130" w:name="xdx_401_eus-gaap--IncomeTaxExpenseBenefi"/>
            <w:bookmarkEnd w:id="130"/>
          </w:p>
        </w:tc>
      </w:tr>
      <w:tr>
        <w:trPr/>
        <w:tc>
          <w:tcPr>
            <w:tcW w:w="449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1" w:name="xdx_40C_eus-gaap--NetIncomeLoss_iT_mtCzr"/>
            <w:bookmarkEnd w:id="131"/>
          </w:p>
        </w:tc>
      </w:tr>
      <w:tr>
        <w:trPr/>
        <w:tc>
          <w:tcPr>
            <w:tcW w:w="4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pPr>
            <w:r>
              <w:rPr/>
              <w:t>(2,821</w:t>
            </w:r>
          </w:p>
        </w:tc>
        <w:tc>
          <w:tcPr>
            <w:tcW w:w="131"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pPr>
            <w:r>
              <w:rPr/>
              <w:t>(2,292</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2" w:name="xdx_402_eus-gaap--EarningsPerShareAbstra"/>
            <w:bookmarkEnd w:id="132"/>
          </w:p>
        </w:tc>
      </w:tr>
      <w:tr>
        <w:trPr/>
        <w:tc>
          <w:tcPr>
            <w:tcW w:w="4490" w:type="dxa"/>
            <w:tcBorders/>
            <w:shd w:fill="FFFFFF" w:val="clear"/>
            <w:vAlign w:val="center"/>
          </w:tcPr>
          <w:p>
            <w:pPr>
              <w:pStyle w:val="TableContents"/>
              <w:bidi w:val="0"/>
              <w:spacing w:before="0" w:after="283"/>
              <w:jc w:val="left"/>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3" w:name="xdx_401_eus-gaap--EarningsPerShareBasic_"/>
            <w:bookmarkEnd w:id="133"/>
          </w:p>
        </w:tc>
      </w:tr>
      <w:tr>
        <w:trPr/>
        <w:tc>
          <w:tcPr>
            <w:tcW w:w="4490" w:type="dxa"/>
            <w:tcBorders/>
            <w:shd w:fill="CCEEFF" w:val="clear"/>
            <w:vAlign w:val="center"/>
          </w:tcPr>
          <w:p>
            <w:pPr>
              <w:pStyle w:val="TableContents"/>
              <w:bidi w:val="0"/>
              <w:spacing w:before="0" w:after="283"/>
              <w:jc w:val="left"/>
              <w:rPr/>
            </w:pPr>
            <w:r>
              <w:rPr/>
              <w:t>Basic – net loss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(0.70</w:t>
            </w:r>
          </w:p>
        </w:tc>
        <w:tc>
          <w:tcPr>
            <w:tcW w:w="131"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(1.29</w:t>
            </w:r>
          </w:p>
        </w:tc>
        <w:tc>
          <w:tcPr>
            <w:tcW w:w="110" w:type="dxa"/>
            <w:tcBorders/>
            <w:shd w:fill="CCEEFF" w:val="clear"/>
            <w:vAlign w:val="center"/>
          </w:tcPr>
          <w:p>
            <w:pPr>
              <w:pStyle w:val="TableContents"/>
              <w:bidi w:val="0"/>
              <w:spacing w:before="0" w:after="283"/>
              <w:jc w:val="left"/>
              <w:rPr/>
            </w:pPr>
            <w:r>
              <w:rPr/>
              <w:t>)</w:t>
            </w:r>
            <w:bookmarkStart w:id="134" w:name="xdx_407_eus-gaap--EarningsPerShareDilute"/>
            <w:bookmarkEnd w:id="134"/>
          </w:p>
        </w:tc>
      </w:tr>
      <w:tr>
        <w:trPr/>
        <w:tc>
          <w:tcPr>
            <w:tcW w:w="4490" w:type="dxa"/>
            <w:tcBorders/>
            <w:shd w:fill="FFFFFF" w:val="clear"/>
            <w:vAlign w:val="center"/>
          </w:tcPr>
          <w:p>
            <w:pPr>
              <w:pStyle w:val="TableContents"/>
              <w:bidi w:val="0"/>
              <w:spacing w:before="0" w:after="283"/>
              <w:jc w:val="left"/>
              <w:rPr/>
            </w:pPr>
            <w:r>
              <w:rPr/>
              <w:t>Diluted – net loss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358" w:type="dxa"/>
            <w:tcBorders/>
            <w:shd w:fill="FFFFFF" w:val="clear"/>
            <w:vAlign w:val="center"/>
          </w:tcPr>
          <w:p>
            <w:pPr>
              <w:pStyle w:val="TableContents"/>
              <w:bidi w:val="0"/>
              <w:spacing w:before="0" w:after="283"/>
              <w:jc w:val="right"/>
              <w:rPr/>
            </w:pPr>
            <w:r>
              <w:rPr/>
              <w:t>(0.70</w:t>
            </w:r>
          </w:p>
        </w:tc>
        <w:tc>
          <w:tcPr>
            <w:tcW w:w="131"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358" w:type="dxa"/>
            <w:tcBorders/>
            <w:shd w:fill="FFFFFF" w:val="clear"/>
            <w:vAlign w:val="center"/>
          </w:tcPr>
          <w:p>
            <w:pPr>
              <w:pStyle w:val="TableContents"/>
              <w:bidi w:val="0"/>
              <w:spacing w:before="0" w:after="283"/>
              <w:jc w:val="right"/>
              <w:rPr/>
            </w:pPr>
            <w:r>
              <w:rPr/>
              <w:t>(1.29</w:t>
            </w:r>
          </w:p>
        </w:tc>
        <w:tc>
          <w:tcPr>
            <w:tcW w:w="110" w:type="dxa"/>
            <w:tcBorders/>
            <w:shd w:fill="FFFFFF" w:val="clear"/>
            <w:vAlign w:val="center"/>
          </w:tcPr>
          <w:p>
            <w:pPr>
              <w:pStyle w:val="TableContents"/>
              <w:bidi w:val="0"/>
              <w:spacing w:before="0" w:after="283"/>
              <w:jc w:val="left"/>
              <w:rPr/>
            </w:pPr>
            <w:r>
              <w:rPr/>
              <w:t>)</w:t>
            </w:r>
            <w:bookmarkStart w:id="135" w:name="xdx_40A_eus-gaap--EarningsPerShareBasicO"/>
            <w:bookmarkEnd w:id="135"/>
          </w:p>
        </w:tc>
      </w:tr>
      <w:tr>
        <w:trPr/>
        <w:tc>
          <w:tcPr>
            <w:tcW w:w="449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C_eus-gaap--WeightedAverageNumberO"/>
            <w:bookmarkEnd w:id="136"/>
          </w:p>
        </w:tc>
      </w:tr>
      <w:tr>
        <w:trPr/>
        <w:tc>
          <w:tcPr>
            <w:tcW w:w="449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4,014,028</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1,772,732</w:t>
            </w:r>
          </w:p>
        </w:tc>
        <w:tc>
          <w:tcPr>
            <w:tcW w:w="110" w:type="dxa"/>
            <w:tcBorders/>
            <w:shd w:fill="FFFFFF" w:val="clear"/>
            <w:vAlign w:val="center"/>
          </w:tcPr>
          <w:p>
            <w:pPr>
              <w:pStyle w:val="TableContents"/>
              <w:bidi w:val="0"/>
              <w:spacing w:before="0" w:after="283"/>
              <w:jc w:val="left"/>
              <w:rPr/>
            </w:pPr>
            <w:r>
              <w:rPr/>
              <w:t> </w:t>
            </w:r>
            <w:bookmarkStart w:id="137" w:name="xdx_40C_eus-gaap--WeightedAverageNumberO"/>
            <w:bookmarkEnd w:id="137"/>
          </w:p>
        </w:tc>
      </w:tr>
      <w:tr>
        <w:trPr/>
        <w:tc>
          <w:tcPr>
            <w:tcW w:w="449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4,014,028</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1,774,343</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38" w:name="a_003"/>
      <w:bookmarkEnd w:id="138"/>
      <w:r>
        <w:rPr>
          <w:rFonts w:ascii="Times New Roman;Times;Serif" w:hAnsi="Times New Roman;Times;Serif"/>
          <w:b/>
          <w:i w:val="false"/>
          <w:caps w:val="false"/>
          <w:smallCaps w:val="false"/>
          <w:sz w:val="20"/>
        </w:rPr>
        <w:t>Condensed Consolidated Statements of Stockholders’ Equity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C_114_pn3n3_zz8votrrMESe"/>
      <w:bookmarkStart w:id="140" w:name="xdx_30C_114_pn3n3_zz8votrrMESe"/>
      <w:bookmarkEnd w:id="140"/>
    </w:p>
    <w:tbl>
      <w:tblPr>
        <w:tblW w:w="10205" w:type="dxa"/>
        <w:jc w:val="left"/>
        <w:tblInd w:w="0" w:type="dxa"/>
        <w:tblLayout w:type="fixed"/>
        <w:tblCellMar>
          <w:top w:w="0" w:type="dxa"/>
          <w:left w:w="0" w:type="dxa"/>
          <w:bottom w:w="0" w:type="dxa"/>
          <w:right w:w="0" w:type="dxa"/>
        </w:tblCellMar>
      </w:tblPr>
      <w:tblGrid>
        <w:gridCol w:w="1605"/>
        <w:gridCol w:w="60"/>
        <w:gridCol w:w="96"/>
        <w:gridCol w:w="614"/>
        <w:gridCol w:w="60"/>
        <w:gridCol w:w="60"/>
        <w:gridCol w:w="512"/>
        <w:gridCol w:w="348"/>
        <w:gridCol w:w="60"/>
        <w:gridCol w:w="60"/>
        <w:gridCol w:w="60"/>
        <w:gridCol w:w="980"/>
        <w:gridCol w:w="60"/>
        <w:gridCol w:w="60"/>
        <w:gridCol w:w="301"/>
        <w:gridCol w:w="559"/>
        <w:gridCol w:w="60"/>
        <w:gridCol w:w="60"/>
        <w:gridCol w:w="282"/>
        <w:gridCol w:w="683"/>
        <w:gridCol w:w="95"/>
        <w:gridCol w:w="60"/>
        <w:gridCol w:w="140"/>
        <w:gridCol w:w="800"/>
        <w:gridCol w:w="60"/>
        <w:gridCol w:w="60"/>
        <w:gridCol w:w="188"/>
        <w:gridCol w:w="1182"/>
        <w:gridCol w:w="95"/>
        <w:gridCol w:w="60"/>
        <w:gridCol w:w="140"/>
        <w:gridCol w:w="635"/>
        <w:gridCol w:w="110"/>
      </w:tblGrid>
      <w:tr>
        <w:trPr/>
        <w:tc>
          <w:tcPr>
            <w:tcW w:w="1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B8_us-gaap--StatementEquityComponen"/>
            <w:bookmarkEnd w:id="14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B7_us-gaap--StatementEquityComponen"/>
            <w:bookmarkEnd w:id="14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B3_us-gaap--StatementEquityComponen"/>
            <w:bookmarkEnd w:id="143"/>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 w:name="xdx_4BC_us-gaap--StatementEquityComponen"/>
            <w:bookmarkEnd w:id="144"/>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B0_us-gaap--StatementEquityComponen"/>
            <w:bookmarkEnd w:id="145"/>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B8_zQe1s5zRPB81"/>
            <w:bookmarkEnd w:id="146"/>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Treasury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47" w:name="xdx_43B_c20250101__20250331_eus-gaap--St"/>
            <w:bookmarkEnd w:id="147"/>
          </w:p>
        </w:tc>
      </w:tr>
      <w:tr>
        <w:trPr/>
        <w:tc>
          <w:tcPr>
            <w:tcW w:w="1605"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48" w:name="xdx_983_eus-gaap--SharesOutstanding_iS_p"/>
            <w:bookmarkEnd w:id="148"/>
          </w:p>
        </w:tc>
        <w:tc>
          <w:tcPr>
            <w:tcW w:w="614" w:type="dxa"/>
            <w:tcBorders/>
            <w:shd w:fill="CCEEFF" w:val="clear"/>
            <w:vAlign w:val="center"/>
          </w:tcPr>
          <w:p>
            <w:pPr>
              <w:pStyle w:val="TableContents"/>
              <w:bidi w:val="0"/>
              <w:spacing w:before="0" w:after="283"/>
              <w:jc w:val="right"/>
              <w:rPr/>
            </w:pPr>
            <w:r>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E_eus-gaap--SharesOutstanding_iS_p"/>
            <w:bookmarkEnd w:id="149"/>
          </w:p>
        </w:tc>
        <w:tc>
          <w:tcPr>
            <w:tcW w:w="980" w:type="dxa"/>
            <w:tcBorders/>
            <w:shd w:fill="CCEEFF" w:val="clear"/>
            <w:vAlign w:val="center"/>
          </w:tcPr>
          <w:p>
            <w:pPr>
              <w:pStyle w:val="TableContents"/>
              <w:bidi w:val="0"/>
              <w:spacing w:before="0" w:after="283"/>
              <w:jc w:val="right"/>
              <w:rPr/>
            </w:pPr>
            <w:r>
              <w:rPr/>
              <w:t>1,342,853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(281,738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3,894</w:t>
            </w:r>
          </w:p>
        </w:tc>
        <w:tc>
          <w:tcPr>
            <w:tcW w:w="110" w:type="dxa"/>
            <w:tcBorders/>
            <w:shd w:fill="CCEEFF" w:val="clear"/>
            <w:vAlign w:val="center"/>
          </w:tcPr>
          <w:p>
            <w:pPr>
              <w:pStyle w:val="TableContents"/>
              <w:bidi w:val="0"/>
              <w:spacing w:before="0" w:after="283"/>
              <w:jc w:val="left"/>
              <w:rPr/>
            </w:pPr>
            <w:r>
              <w:rPr/>
              <w:t> </w:t>
            </w:r>
            <w:bookmarkStart w:id="150" w:name="xdx_40E_eus-gaap--StockIssuedDuringPerio"/>
            <w:bookmarkEnd w:id="150"/>
          </w:p>
        </w:tc>
      </w:tr>
      <w:tr>
        <w:trPr/>
        <w:tc>
          <w:tcPr>
            <w:tcW w:w="160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983_eus-gaap--StockIssuedDuringPerio"/>
            <w:bookmarkEnd w:id="151"/>
          </w:p>
        </w:tc>
        <w:tc>
          <w:tcPr>
            <w:tcW w:w="980" w:type="dxa"/>
            <w:tcBorders/>
            <w:shd w:fill="FFFFFF" w:val="clear"/>
            <w:vAlign w:val="center"/>
          </w:tcPr>
          <w:p>
            <w:pPr>
              <w:pStyle w:val="TableContents"/>
              <w:bidi w:val="0"/>
              <w:spacing w:before="0" w:after="283"/>
              <w:jc w:val="right"/>
              <w:rPr/>
            </w:pPr>
            <w:r>
              <w:rPr/>
              <w:t>2,264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bookmarkStart w:id="152" w:name="xdx_407_eus-gaap--StockIssuedDuringPerio"/>
            <w:bookmarkEnd w:id="152"/>
          </w:p>
        </w:tc>
      </w:tr>
      <w:tr>
        <w:trPr/>
        <w:tc>
          <w:tcPr>
            <w:tcW w:w="1605" w:type="dxa"/>
            <w:tcBorders/>
            <w:shd w:fill="CCEEFF" w:val="clear"/>
            <w:vAlign w:val="center"/>
          </w:tcPr>
          <w:p>
            <w:pPr>
              <w:pStyle w:val="TableContents"/>
              <w:bidi w:val="0"/>
              <w:spacing w:before="0" w:after="283"/>
              <w:jc w:val="left"/>
              <w:rPr/>
            </w:pPr>
            <w:r>
              <w:rPr/>
              <w:t>Common stock and prefunded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B_eus-gaap--StockIssuedDuringPerio"/>
            <w:bookmarkEnd w:id="153"/>
          </w:p>
        </w:tc>
        <w:tc>
          <w:tcPr>
            <w:tcW w:w="980" w:type="dxa"/>
            <w:tcBorders/>
            <w:shd w:fill="CCEEFF" w:val="clear"/>
            <w:vAlign w:val="center"/>
          </w:tcPr>
          <w:p>
            <w:pPr>
              <w:pStyle w:val="TableContents"/>
              <w:bidi w:val="0"/>
              <w:spacing w:before="0" w:after="283"/>
              <w:jc w:val="right"/>
              <w:rPr/>
            </w:pPr>
            <w:r>
              <w:rPr/>
              <w:t>1,171,189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4,399</w:t>
            </w:r>
          </w:p>
        </w:tc>
        <w:tc>
          <w:tcPr>
            <w:tcW w:w="110" w:type="dxa"/>
            <w:tcBorders/>
            <w:shd w:fill="CCEEFF" w:val="clear"/>
            <w:vAlign w:val="center"/>
          </w:tcPr>
          <w:p>
            <w:pPr>
              <w:pStyle w:val="TableContents"/>
              <w:bidi w:val="0"/>
              <w:spacing w:before="0" w:after="283"/>
              <w:jc w:val="left"/>
              <w:rPr/>
            </w:pPr>
            <w:r>
              <w:rPr/>
              <w:t> </w:t>
            </w:r>
            <w:bookmarkStart w:id="154" w:name="xdx_402_ecustom--StockIssuedDuringPeriod"/>
            <w:bookmarkEnd w:id="154"/>
          </w:p>
        </w:tc>
      </w:tr>
      <w:tr>
        <w:trPr/>
        <w:tc>
          <w:tcPr>
            <w:tcW w:w="1605" w:type="dxa"/>
            <w:tcBorders/>
            <w:shd w:fill="FFFFFF" w:val="clear"/>
            <w:vAlign w:val="center"/>
          </w:tcPr>
          <w:p>
            <w:pPr>
              <w:pStyle w:val="TableContents"/>
              <w:bidi w:val="0"/>
              <w:spacing w:before="0" w:after="283"/>
              <w:jc w:val="left"/>
              <w:rPr/>
            </w:pPr>
            <w:r>
              <w:rPr/>
              <w:t>Issuance of common stock from the cashless exercise of warrants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1_ecustom--StockIssuedDuringPeriod"/>
            <w:bookmarkEnd w:id="155"/>
          </w:p>
        </w:tc>
        <w:tc>
          <w:tcPr>
            <w:tcW w:w="98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6" w:name="xdx_404_ecustom--PurchaseOfCommonStockIn"/>
            <w:bookmarkEnd w:id="156"/>
          </w:p>
        </w:tc>
      </w:tr>
      <w:tr>
        <w:trPr/>
        <w:tc>
          <w:tcPr>
            <w:tcW w:w="1605" w:type="dxa"/>
            <w:tcBorders/>
            <w:shd w:fill="CCEEFF" w:val="clear"/>
            <w:vAlign w:val="center"/>
          </w:tcPr>
          <w:p>
            <w:pPr>
              <w:pStyle w:val="TableContents"/>
              <w:bidi w:val="0"/>
              <w:spacing w:before="0" w:after="283"/>
              <w:jc w:val="left"/>
              <w:rPr/>
            </w:pPr>
            <w:r>
              <w:rPr/>
              <w:t>Purchase of common stock into Treasury</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bookmarkStart w:id="157" w:name="xdx_403_eus-gaap--NetIncomeLoss_zVg5avZE"/>
            <w:bookmarkEnd w:id="157"/>
          </w:p>
        </w:tc>
      </w:tr>
      <w:tr>
        <w:trPr/>
        <w:tc>
          <w:tcPr>
            <w:tcW w:w="16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(2,292</w:t>
            </w:r>
          </w:p>
        </w:tc>
        <w:tc>
          <w:tcPr>
            <w:tcW w:w="110" w:type="dxa"/>
            <w:tcBorders/>
            <w:shd w:fill="FFFFFF" w:val="clear"/>
            <w:vAlign w:val="center"/>
          </w:tcPr>
          <w:p>
            <w:pPr>
              <w:pStyle w:val="TableContents"/>
              <w:bidi w:val="0"/>
              <w:spacing w:before="0" w:after="283"/>
              <w:jc w:val="left"/>
              <w:rPr/>
            </w:pPr>
            <w:r>
              <w:rPr/>
              <w:t>)</w:t>
            </w:r>
            <w:bookmarkStart w:id="158" w:name="xdx_434_c20250101__20250331_eus-gaap--St"/>
            <w:bookmarkEnd w:id="158"/>
          </w:p>
        </w:tc>
      </w:tr>
      <w:tr>
        <w:trPr/>
        <w:tc>
          <w:tcPr>
            <w:tcW w:w="1605" w:type="dxa"/>
            <w:tcBorders/>
            <w:shd w:fill="CCEEFF" w:val="clear"/>
            <w:vAlign w:val="center"/>
          </w:tcPr>
          <w:p>
            <w:pPr>
              <w:pStyle w:val="TableContents"/>
              <w:bidi w:val="0"/>
              <w:spacing w:before="0" w:after="283"/>
              <w:jc w:val="left"/>
              <w:rPr>
                <w:b/>
              </w:rPr>
            </w:pPr>
            <w:r>
              <w:rPr>
                <w:b/>
              </w:rPr>
              <w:t>Balance as of March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9" w:name="xdx_985_eus-gaap--SharesOutstanding_iE_p"/>
            <w:bookmarkEnd w:id="159"/>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0" w:name="xdx_983_eus-gaap--SharesOutstanding_iE_p"/>
            <w:bookmarkEnd w:id="16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2,516,311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290,183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(284,030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6,092</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1"/>
        <w:gridCol w:w="60"/>
        <w:gridCol w:w="123"/>
        <w:gridCol w:w="594"/>
        <w:gridCol w:w="77"/>
        <w:gridCol w:w="77"/>
        <w:gridCol w:w="507"/>
        <w:gridCol w:w="353"/>
        <w:gridCol w:w="60"/>
        <w:gridCol w:w="60"/>
        <w:gridCol w:w="60"/>
        <w:gridCol w:w="980"/>
        <w:gridCol w:w="60"/>
        <w:gridCol w:w="60"/>
        <w:gridCol w:w="301"/>
        <w:gridCol w:w="559"/>
        <w:gridCol w:w="60"/>
        <w:gridCol w:w="60"/>
        <w:gridCol w:w="227"/>
        <w:gridCol w:w="738"/>
        <w:gridCol w:w="95"/>
        <w:gridCol w:w="60"/>
        <w:gridCol w:w="140"/>
        <w:gridCol w:w="800"/>
        <w:gridCol w:w="60"/>
        <w:gridCol w:w="60"/>
        <w:gridCol w:w="188"/>
        <w:gridCol w:w="1182"/>
        <w:gridCol w:w="95"/>
        <w:gridCol w:w="60"/>
        <w:gridCol w:w="140"/>
        <w:gridCol w:w="635"/>
        <w:gridCol w:w="113"/>
      </w:tblGrid>
      <w:tr>
        <w:trPr/>
        <w:tc>
          <w:tcPr>
            <w:tcW w:w="1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Treasury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bookmarkStart w:id="161" w:name="xdx_43B_c20260101__20260331_eus-gaap--St"/>
            <w:bookmarkEnd w:id="161"/>
          </w:p>
        </w:tc>
      </w:tr>
      <w:tr>
        <w:trPr/>
        <w:tc>
          <w:tcPr>
            <w:tcW w:w="1561"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162" w:name="xdx_98B_eus-gaap--SharesOutstanding_iS_p"/>
            <w:bookmarkEnd w:id="162"/>
          </w:p>
        </w:tc>
        <w:tc>
          <w:tcPr>
            <w:tcW w:w="594" w:type="dxa"/>
            <w:tcBorders/>
            <w:shd w:fill="CCEEFF" w:val="cle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 w:name="xdx_985_eus-gaap--SharesOutstanding_iS_p"/>
            <w:bookmarkEnd w:id="163"/>
          </w:p>
        </w:tc>
        <w:tc>
          <w:tcPr>
            <w:tcW w:w="980" w:type="dxa"/>
            <w:tcBorders/>
            <w:shd w:fill="CCEEFF" w:val="clear"/>
            <w:vAlign w:val="center"/>
          </w:tcPr>
          <w:p>
            <w:pPr>
              <w:pStyle w:val="TableContents"/>
              <w:bidi w:val="0"/>
              <w:spacing w:before="0" w:after="283"/>
              <w:jc w:val="right"/>
              <w:rPr/>
            </w:pPr>
            <w:r>
              <w:rPr/>
              <w:t>4,021,293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295,124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(292,102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2,929</w:t>
            </w:r>
          </w:p>
        </w:tc>
        <w:tc>
          <w:tcPr>
            <w:tcW w:w="113" w:type="dxa"/>
            <w:tcBorders/>
            <w:shd w:fill="CCEEFF" w:val="clear"/>
            <w:vAlign w:val="center"/>
          </w:tcPr>
          <w:p>
            <w:pPr>
              <w:pStyle w:val="TableContents"/>
              <w:bidi w:val="0"/>
              <w:spacing w:before="0" w:after="283"/>
              <w:jc w:val="left"/>
              <w:rPr/>
            </w:pPr>
            <w:r>
              <w:rPr/>
              <w:t> </w:t>
            </w:r>
            <w:bookmarkStart w:id="164" w:name="xdx_43C_c20260101__20260331_eus-gaap--St"/>
            <w:bookmarkEnd w:id="164"/>
          </w:p>
        </w:tc>
      </w:tr>
      <w:tr>
        <w:trPr/>
        <w:tc>
          <w:tcPr>
            <w:tcW w:w="1561"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165" w:name="xdx_988_eus-gaap--SharesOutstanding_iS_p"/>
            <w:bookmarkEnd w:id="165"/>
          </w:p>
        </w:tc>
        <w:tc>
          <w:tcPr>
            <w:tcW w:w="594" w:type="dxa"/>
            <w:tcBorders/>
            <w:shd w:fill="CCEEFF" w:val="cle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F_eus-gaap--SharesOutstanding_iS_p"/>
            <w:bookmarkEnd w:id="166"/>
          </w:p>
        </w:tc>
        <w:tc>
          <w:tcPr>
            <w:tcW w:w="980" w:type="dxa"/>
            <w:tcBorders/>
            <w:shd w:fill="CCEEFF" w:val="clear"/>
            <w:vAlign w:val="center"/>
          </w:tcPr>
          <w:p>
            <w:pPr>
              <w:pStyle w:val="TableContents"/>
              <w:bidi w:val="0"/>
              <w:spacing w:before="0" w:after="283"/>
              <w:jc w:val="right"/>
              <w:rPr/>
            </w:pPr>
            <w:r>
              <w:rPr/>
              <w:t>4,021,293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295,124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(292,102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2,929</w:t>
            </w:r>
          </w:p>
        </w:tc>
        <w:tc>
          <w:tcPr>
            <w:tcW w:w="113" w:type="dxa"/>
            <w:tcBorders/>
            <w:shd w:fill="CCEEFF" w:val="clear"/>
            <w:vAlign w:val="center"/>
          </w:tcPr>
          <w:p>
            <w:pPr>
              <w:pStyle w:val="TableContents"/>
              <w:bidi w:val="0"/>
              <w:spacing w:before="0" w:after="283"/>
              <w:jc w:val="left"/>
              <w:rPr/>
            </w:pPr>
            <w:r>
              <w:rPr/>
              <w:t> </w:t>
            </w:r>
            <w:bookmarkStart w:id="167" w:name="xdx_40E_eus-gaap--StockIssuedDuringPerio"/>
            <w:bookmarkEnd w:id="167"/>
          </w:p>
        </w:tc>
      </w:tr>
      <w:tr>
        <w:trPr/>
        <w:tc>
          <w:tcPr>
            <w:tcW w:w="1561"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C_eus-gaap--StockIssuedDuringPerio"/>
            <w:bookmarkEnd w:id="168"/>
          </w:p>
        </w:tc>
        <w:tc>
          <w:tcPr>
            <w:tcW w:w="980" w:type="dxa"/>
            <w:tcBorders/>
            <w:shd w:fill="FFFFFF" w:val="clear"/>
            <w:vAlign w:val="center"/>
          </w:tcPr>
          <w:p>
            <w:pPr>
              <w:pStyle w:val="TableContents"/>
              <w:bidi w:val="0"/>
              <w:spacing w:before="0" w:after="283"/>
              <w:jc w:val="right"/>
              <w:rPr/>
            </w:pPr>
            <w:r>
              <w:rPr/>
              <w:t>46,749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530</w:t>
            </w:r>
          </w:p>
        </w:tc>
        <w:tc>
          <w:tcPr>
            <w:tcW w:w="113" w:type="dxa"/>
            <w:tcBorders/>
            <w:shd w:fill="FFFFFF" w:val="clear"/>
            <w:vAlign w:val="center"/>
          </w:tcPr>
          <w:p>
            <w:pPr>
              <w:pStyle w:val="TableContents"/>
              <w:bidi w:val="0"/>
              <w:spacing w:before="0" w:after="283"/>
              <w:jc w:val="left"/>
              <w:rPr/>
            </w:pPr>
            <w:r>
              <w:rPr/>
              <w:t> </w:t>
            </w:r>
            <w:bookmarkStart w:id="169" w:name="xdx_40B_ecustom--StockIssuedDuringPeriod"/>
            <w:bookmarkEnd w:id="169"/>
          </w:p>
        </w:tc>
      </w:tr>
      <w:tr>
        <w:trPr/>
        <w:tc>
          <w:tcPr>
            <w:tcW w:w="1561" w:type="dxa"/>
            <w:tcBorders/>
            <w:shd w:fill="CCEEFF" w:val="clear"/>
            <w:vAlign w:val="center"/>
          </w:tcPr>
          <w:p>
            <w:pPr>
              <w:pStyle w:val="TableContents"/>
              <w:bidi w:val="0"/>
              <w:spacing w:before="0" w:after="283"/>
              <w:jc w:val="left"/>
              <w:rPr/>
            </w:pPr>
            <w:r>
              <w:rPr/>
              <w:t>Proceeds from issuance of common stock in connection with ATM, net of fees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F_ecustom--StockIssuedDuringPeriod"/>
            <w:bookmarkEnd w:id="170"/>
          </w:p>
        </w:tc>
        <w:tc>
          <w:tcPr>
            <w:tcW w:w="980" w:type="dxa"/>
            <w:tcBorders/>
            <w:shd w:fill="CCEEFF" w:val="clear"/>
            <w:vAlign w:val="center"/>
          </w:tcPr>
          <w:p>
            <w:pPr>
              <w:pStyle w:val="TableContents"/>
              <w:bidi w:val="0"/>
              <w:spacing w:before="0" w:after="283"/>
              <w:jc w:val="right"/>
              <w:rPr/>
            </w:pPr>
            <w:r>
              <w:rPr/>
              <w:t>101,493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266</w:t>
            </w:r>
          </w:p>
        </w:tc>
        <w:tc>
          <w:tcPr>
            <w:tcW w:w="113" w:type="dxa"/>
            <w:tcBorders/>
            <w:shd w:fill="CCEEFF" w:val="clear"/>
            <w:vAlign w:val="center"/>
          </w:tcPr>
          <w:p>
            <w:pPr>
              <w:pStyle w:val="TableContents"/>
              <w:bidi w:val="0"/>
              <w:spacing w:before="0" w:after="283"/>
              <w:jc w:val="left"/>
              <w:rPr/>
            </w:pPr>
            <w:r>
              <w:rPr/>
              <w:t> </w:t>
            </w:r>
            <w:bookmarkStart w:id="171" w:name="xdx_403_eus-gaap--NetIncomeLoss_zKKlcNDH"/>
            <w:bookmarkEnd w:id="171"/>
          </w:p>
        </w:tc>
      </w:tr>
      <w:tr>
        <w:trPr/>
        <w:tc>
          <w:tcPr>
            <w:tcW w:w="156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(2,821</w:t>
            </w:r>
          </w:p>
        </w:tc>
        <w:tc>
          <w:tcPr>
            <w:tcW w:w="113" w:type="dxa"/>
            <w:tcBorders/>
            <w:shd w:fill="FFFFFF" w:val="clear"/>
            <w:vAlign w:val="center"/>
          </w:tcPr>
          <w:p>
            <w:pPr>
              <w:pStyle w:val="TableContents"/>
              <w:bidi w:val="0"/>
              <w:spacing w:before="0" w:after="283"/>
              <w:jc w:val="left"/>
              <w:rPr/>
            </w:pPr>
            <w:r>
              <w:rPr/>
              <w:t>)</w:t>
            </w:r>
            <w:bookmarkStart w:id="172" w:name="xdx_43C_c20260101__20260331_eus-gaap--St"/>
            <w:bookmarkEnd w:id="172"/>
          </w:p>
        </w:tc>
      </w:tr>
      <w:tr>
        <w:trPr/>
        <w:tc>
          <w:tcPr>
            <w:tcW w:w="1561" w:type="dxa"/>
            <w:tcBorders/>
            <w:shd w:fill="CCEEFF" w:val="clear"/>
            <w:vAlign w:val="center"/>
          </w:tcPr>
          <w:p>
            <w:pPr>
              <w:pStyle w:val="TableContents"/>
              <w:bidi w:val="0"/>
              <w:spacing w:before="0" w:after="283"/>
              <w:jc w:val="left"/>
              <w:rPr>
                <w:b/>
              </w:rPr>
            </w:pPr>
            <w:r>
              <w:rPr>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 w:name="xdx_982_eus-gaap--SharesOutstanding_iE_p"/>
            <w:bookmarkEnd w:id="173"/>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 w:name="xdx_98E_eus-gaap--SharesOutstanding_iE_p"/>
            <w:bookmarkEnd w:id="17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4,169,535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295,918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(294,923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904</w:t>
            </w:r>
          </w:p>
        </w:tc>
        <w:tc>
          <w:tcPr>
            <w:tcW w:w="113" w:type="dxa"/>
            <w:tcBorders/>
            <w:shd w:fill="CCEEFF" w:val="clear"/>
            <w:vAlign w:val="center"/>
          </w:tcPr>
          <w:p>
            <w:pPr>
              <w:pStyle w:val="TableContents"/>
              <w:bidi w:val="0"/>
              <w:spacing w:before="0" w:after="283"/>
              <w:jc w:val="left"/>
              <w:rPr/>
            </w:pPr>
            <w:r>
              <w:rPr/>
              <w:t> </w:t>
            </w:r>
            <w:bookmarkStart w:id="175" w:name="xdx_439_c20260101__20260331_eus-gaap--St"/>
            <w:bookmarkEnd w:id="175"/>
          </w:p>
        </w:tc>
      </w:tr>
      <w:tr>
        <w:trPr/>
        <w:tc>
          <w:tcPr>
            <w:tcW w:w="1561"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6" w:name="xdx_985_eus-gaap--SharesOutstanding_iE_p"/>
            <w:bookmarkEnd w:id="176"/>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7" w:name="xdx_98F_eus-gaap--SharesOutstanding_iE_p"/>
            <w:bookmarkEnd w:id="17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4,169,535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295,918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(294,923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904</w:t>
            </w:r>
          </w:p>
        </w:tc>
        <w:tc>
          <w:tcPr>
            <w:tcW w:w="113"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78" w:name="a_004"/>
      <w:bookmarkEnd w:id="178"/>
      <w:r>
        <w:rPr>
          <w:rFonts w:ascii="Times New Roman;Times;Serif" w:hAnsi="Times New Roman;Times;Serif"/>
          <w:b/>
          <w:i w:val="false"/>
          <w:caps w:val="false"/>
          <w:smallCaps w:val="false"/>
          <w:sz w:val="20"/>
        </w:rPr>
        <w:t>Condensed Consolidated Statements of Cash Flows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9" w:name="xdx_30C_112_pn3n3_zpQITUGKpl1a"/>
      <w:bookmarkStart w:id="180" w:name="xdx_30C_112_pn3n3_zpQITUGKpl1a"/>
      <w:bookmarkEnd w:id="180"/>
    </w:p>
    <w:tbl>
      <w:tblPr>
        <w:tblW w:w="10198" w:type="dxa"/>
        <w:jc w:val="left"/>
        <w:tblInd w:w="0" w:type="dxa"/>
        <w:tblLayout w:type="fixed"/>
        <w:tblCellMar>
          <w:top w:w="0" w:type="dxa"/>
          <w:left w:w="0" w:type="dxa"/>
          <w:bottom w:w="0" w:type="dxa"/>
          <w:right w:w="0" w:type="dxa"/>
        </w:tblCellMar>
      </w:tblPr>
      <w:tblGrid>
        <w:gridCol w:w="7820"/>
        <w:gridCol w:w="60"/>
        <w:gridCol w:w="181"/>
        <w:gridCol w:w="823"/>
        <w:gridCol w:w="123"/>
        <w:gridCol w:w="77"/>
        <w:gridCol w:w="181"/>
        <w:gridCol w:w="823"/>
        <w:gridCol w:w="110"/>
      </w:tblGrid>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 w:name="xdx_491_20260101__20260331_z5Zl8CkvWA6"/>
            <w:bookmarkEnd w:id="181"/>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182" w:name="xdx_49B_20250101__20250331_zk3iQ7xps6a6"/>
            <w:bookmarkEnd w:id="182"/>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pPr>
            <w:r>
              <w:rPr/>
              <w:t> </w:t>
            </w:r>
            <w:r>
              <w:rPr>
                <w:b/>
              </w:rPr>
              <w:t>March 31,</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83" w:name="xdx_40C_eus-gaap--NetCashProvidedByUsedI"/>
            <w:bookmarkEnd w:id="183"/>
          </w:p>
        </w:tc>
      </w:tr>
      <w:tr>
        <w:trPr/>
        <w:tc>
          <w:tcPr>
            <w:tcW w:w="782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4" w:name="xdx_40C_eus-gaap--NetIncomeLoss_i01_maNC"/>
            <w:bookmarkEnd w:id="184"/>
          </w:p>
        </w:tc>
      </w:tr>
      <w:tr>
        <w:trPr/>
        <w:tc>
          <w:tcPr>
            <w:tcW w:w="78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(2,821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(2,292</w:t>
            </w:r>
          </w:p>
        </w:tc>
        <w:tc>
          <w:tcPr>
            <w:tcW w:w="110" w:type="dxa"/>
            <w:tcBorders/>
            <w:shd w:fill="FFFFFF" w:val="clear"/>
            <w:vAlign w:val="center"/>
          </w:tcPr>
          <w:p>
            <w:pPr>
              <w:pStyle w:val="TableContents"/>
              <w:bidi w:val="0"/>
              <w:spacing w:before="0" w:after="283"/>
              <w:jc w:val="left"/>
              <w:rPr/>
            </w:pPr>
            <w:r>
              <w:rPr/>
              <w:t>)</w:t>
            </w:r>
            <w:bookmarkStart w:id="185" w:name="xdx_40A_eus-gaap--AdjustmentsToReconcile"/>
            <w:bookmarkEnd w:id="185"/>
          </w:p>
        </w:tc>
      </w:tr>
      <w:tr>
        <w:trPr/>
        <w:tc>
          <w:tcPr>
            <w:tcW w:w="782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6" w:name="xdx_40A_eus-gaap--Depreciation_i02_maNCP"/>
            <w:bookmarkEnd w:id="186"/>
          </w:p>
        </w:tc>
      </w:tr>
      <w:tr>
        <w:trPr/>
        <w:tc>
          <w:tcPr>
            <w:tcW w:w="7820"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68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95</w:t>
            </w:r>
          </w:p>
        </w:tc>
        <w:tc>
          <w:tcPr>
            <w:tcW w:w="110" w:type="dxa"/>
            <w:tcBorders/>
            <w:shd w:fill="FFFFFF" w:val="clear"/>
            <w:vAlign w:val="center"/>
          </w:tcPr>
          <w:p>
            <w:pPr>
              <w:pStyle w:val="TableContents"/>
              <w:bidi w:val="0"/>
              <w:spacing w:before="0" w:after="283"/>
              <w:jc w:val="left"/>
              <w:rPr/>
            </w:pPr>
            <w:r>
              <w:rPr/>
              <w:t> </w:t>
            </w:r>
            <w:bookmarkStart w:id="187" w:name="xdx_40E_eus-gaap--AssetImpairmentCharges"/>
            <w:bookmarkEnd w:id="187"/>
          </w:p>
        </w:tc>
      </w:tr>
      <w:tr>
        <w:trPr/>
        <w:tc>
          <w:tcPr>
            <w:tcW w:w="7820" w:type="dxa"/>
            <w:tcBorders/>
            <w:shd w:fill="CCEEFF" w:val="clear"/>
            <w:vAlign w:val="center"/>
          </w:tcPr>
          <w:p>
            <w:pPr>
              <w:pStyle w:val="TableContents"/>
              <w:bidi w:val="0"/>
              <w:spacing w:before="0" w:after="283"/>
              <w:jc w:val="left"/>
              <w:rPr/>
            </w:pPr>
            <w:r>
              <w:rPr/>
              <w:t>Impairment of Armor</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64</w:t>
            </w:r>
          </w:p>
        </w:tc>
        <w:tc>
          <w:tcPr>
            <w:tcW w:w="110" w:type="dxa"/>
            <w:tcBorders/>
            <w:shd w:fill="CCEEFF" w:val="clear"/>
            <w:vAlign w:val="center"/>
          </w:tcPr>
          <w:p>
            <w:pPr>
              <w:pStyle w:val="TableContents"/>
              <w:bidi w:val="0"/>
              <w:spacing w:before="0" w:after="283"/>
              <w:jc w:val="left"/>
              <w:rPr/>
            </w:pPr>
            <w:r>
              <w:rPr/>
              <w:t> </w:t>
            </w:r>
            <w:bookmarkStart w:id="188" w:name="xdx_400_eus-gaap--OperatingLeaseRightOfU"/>
            <w:bookmarkEnd w:id="188"/>
          </w:p>
        </w:tc>
      </w:tr>
      <w:tr>
        <w:trPr/>
        <w:tc>
          <w:tcPr>
            <w:tcW w:w="7820"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80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 </w:t>
            </w:r>
            <w:bookmarkStart w:id="189" w:name="xdx_408_eus-gaap--GainOrLossOnSaleOfStoc"/>
            <w:bookmarkEnd w:id="189"/>
          </w:p>
        </w:tc>
      </w:tr>
      <w:tr>
        <w:trPr/>
        <w:tc>
          <w:tcPr>
            <w:tcW w:w="7820" w:type="dxa"/>
            <w:tcBorders/>
            <w:shd w:fill="CCEEFF" w:val="clear"/>
            <w:vAlign w:val="center"/>
          </w:tcPr>
          <w:p>
            <w:pPr>
              <w:pStyle w:val="TableContents"/>
              <w:bidi w:val="0"/>
              <w:spacing w:before="0" w:after="283"/>
              <w:jc w:val="left"/>
              <w:rPr/>
            </w:pPr>
            <w:r>
              <w:rPr/>
              <w:t>Loss on disposal of subsidiary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bookmarkStart w:id="190" w:name="xdx_403_eus-gaap--AmortizationOfIntangib"/>
            <w:bookmarkEnd w:id="190"/>
          </w:p>
        </w:tc>
      </w:tr>
      <w:tr>
        <w:trPr/>
        <w:tc>
          <w:tcPr>
            <w:tcW w:w="7820"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191" w:name="xdx_40C_eus-gaap--ShareBasedCompensation"/>
            <w:bookmarkEnd w:id="191"/>
          </w:p>
        </w:tc>
      </w:tr>
      <w:tr>
        <w:trPr/>
        <w:tc>
          <w:tcPr>
            <w:tcW w:w="7820" w:type="dxa"/>
            <w:tcBorders/>
            <w:shd w:fill="CCEEFF" w:val="clear"/>
            <w:vAlign w:val="center"/>
          </w:tcPr>
          <w:p>
            <w:pPr>
              <w:pStyle w:val="TableContents"/>
              <w:bidi w:val="0"/>
              <w:spacing w:before="0" w:after="283"/>
              <w:jc w:val="left"/>
              <w:rPr/>
            </w:pPr>
            <w:r>
              <w:rPr/>
              <w:t>Stock based compensation - Employee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530</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bookmarkStart w:id="192" w:name="xdx_408_ecustom--StockBasedCompensationN"/>
            <w:bookmarkEnd w:id="192"/>
          </w:p>
        </w:tc>
      </w:tr>
      <w:tr>
        <w:trPr/>
        <w:tc>
          <w:tcPr>
            <w:tcW w:w="7820" w:type="dxa"/>
            <w:tcBorders/>
            <w:shd w:fill="FFFFFF" w:val="clear"/>
            <w:vAlign w:val="center"/>
          </w:tcPr>
          <w:p>
            <w:pPr>
              <w:pStyle w:val="TableContents"/>
              <w:bidi w:val="0"/>
              <w:spacing w:before="0" w:after="283"/>
              <w:jc w:val="left"/>
              <w:rPr/>
            </w:pPr>
            <w:r>
              <w:rPr/>
              <w:t>Stock based compensation - Non-employee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bookmarkStart w:id="193" w:name="xdx_403_eus-gaap--DerivativeGainLossOnDe"/>
            <w:bookmarkEnd w:id="193"/>
          </w:p>
        </w:tc>
      </w:tr>
      <w:tr>
        <w:trPr/>
        <w:tc>
          <w:tcPr>
            <w:tcW w:w="782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(343</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(87</w:t>
            </w:r>
          </w:p>
        </w:tc>
        <w:tc>
          <w:tcPr>
            <w:tcW w:w="110" w:type="dxa"/>
            <w:tcBorders/>
            <w:shd w:fill="CCEEFF" w:val="clear"/>
            <w:vAlign w:val="center"/>
          </w:tcPr>
          <w:p>
            <w:pPr>
              <w:pStyle w:val="TableContents"/>
              <w:bidi w:val="0"/>
              <w:spacing w:before="0" w:after="283"/>
              <w:jc w:val="left"/>
              <w:rPr/>
            </w:pPr>
            <w:r>
              <w:rPr/>
              <w:t>)</w:t>
            </w:r>
            <w:bookmarkStart w:id="194" w:name="xdx_401_eus-gaap--ProvisionForDoubtfulAc"/>
            <w:bookmarkEnd w:id="194"/>
          </w:p>
        </w:tc>
      </w:tr>
      <w:tr>
        <w:trPr/>
        <w:tc>
          <w:tcPr>
            <w:tcW w:w="7820" w:type="dxa"/>
            <w:tcBorders/>
            <w:shd w:fill="FFFFFF" w:val="clear"/>
            <w:vAlign w:val="center"/>
          </w:tcPr>
          <w:p>
            <w:pPr>
              <w:pStyle w:val="TableContents"/>
              <w:bidi w:val="0"/>
              <w:spacing w:before="0" w:after="283"/>
              <w:jc w:val="left"/>
              <w:rPr/>
            </w:pPr>
            <w:r>
              <w:rPr/>
              <w:t>Bad debt (recoveries)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9</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bookmarkStart w:id="195" w:name="xdx_403_eus-gaap--IncreaseDecreaseInOper"/>
            <w:bookmarkEnd w:id="195"/>
          </w:p>
        </w:tc>
      </w:tr>
      <w:tr>
        <w:trPr/>
        <w:tc>
          <w:tcPr>
            <w:tcW w:w="782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 w:name="xdx_403_eus-gaap--IncreaseDecreaseInAcco"/>
            <w:bookmarkEnd w:id="196"/>
          </w:p>
        </w:tc>
      </w:tr>
      <w:tr>
        <w:trPr/>
        <w:tc>
          <w:tcPr>
            <w:tcW w:w="7820" w:type="dxa"/>
            <w:tcBorders/>
            <w:shd w:fill="FFFFFF" w:val="clear"/>
            <w:vAlign w:val="center"/>
          </w:tcPr>
          <w:p>
            <w:pPr>
              <w:pStyle w:val="TableContents"/>
              <w:bidi w:val="0"/>
              <w:spacing w:before="0" w:after="283"/>
              <w:jc w:val="left"/>
              <w:rPr/>
            </w:pPr>
            <w:r>
              <w:rPr/>
              <w:t>Trade accounts receivable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(195</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bookmarkStart w:id="197" w:name="xdx_401_eus-gaap--IncreaseDecreaseInPrep"/>
            <w:bookmarkEnd w:id="197"/>
          </w:p>
        </w:tc>
      </w:tr>
      <w:tr>
        <w:trPr/>
        <w:tc>
          <w:tcPr>
            <w:tcW w:w="782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(52</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bookmarkStart w:id="198" w:name="xdx_40E_eus-gaap--IncreaseDecreaseInInve"/>
            <w:bookmarkEnd w:id="198"/>
          </w:p>
        </w:tc>
      </w:tr>
      <w:tr>
        <w:trPr/>
        <w:tc>
          <w:tcPr>
            <w:tcW w:w="782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(349</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bookmarkStart w:id="199" w:name="xdx_40C_eus-gaap--IncreaseDecreaseInAcco"/>
            <w:bookmarkEnd w:id="199"/>
          </w:p>
        </w:tc>
      </w:tr>
      <w:tr>
        <w:trPr/>
        <w:tc>
          <w:tcPr>
            <w:tcW w:w="7820"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659</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576</w:t>
            </w:r>
          </w:p>
        </w:tc>
        <w:tc>
          <w:tcPr>
            <w:tcW w:w="110" w:type="dxa"/>
            <w:tcBorders/>
            <w:shd w:fill="CCEEFF" w:val="clear"/>
            <w:vAlign w:val="center"/>
          </w:tcPr>
          <w:p>
            <w:pPr>
              <w:pStyle w:val="TableContents"/>
              <w:bidi w:val="0"/>
              <w:spacing w:before="0" w:after="283"/>
              <w:jc w:val="left"/>
              <w:rPr/>
            </w:pPr>
            <w:r>
              <w:rPr/>
              <w:t> </w:t>
            </w:r>
            <w:bookmarkStart w:id="200" w:name="xdx_40C_eus-gaap--IncreaseDecreaseInOthe"/>
            <w:bookmarkEnd w:id="200"/>
          </w:p>
        </w:tc>
      </w:tr>
      <w:tr>
        <w:trPr/>
        <w:tc>
          <w:tcPr>
            <w:tcW w:w="7820"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 </w:t>
            </w:r>
            <w:bookmarkStart w:id="201" w:name="xdx_405_eus-gaap--IncreaseDecreaseInOper"/>
            <w:bookmarkEnd w:id="201"/>
          </w:p>
        </w:tc>
      </w:tr>
      <w:tr>
        <w:trPr/>
        <w:tc>
          <w:tcPr>
            <w:tcW w:w="7820" w:type="dxa"/>
            <w:tcBorders/>
            <w:shd w:fill="CCEEFF" w:val="clear"/>
            <w:vAlign w:val="center"/>
          </w:tcPr>
          <w:p>
            <w:pPr>
              <w:pStyle w:val="TableContents"/>
              <w:bidi w:val="0"/>
              <w:spacing w:before="0" w:after="283"/>
              <w:jc w:val="left"/>
              <w:rPr/>
            </w:pPr>
            <w:r>
              <w:rPr/>
              <w:t>Payments on operating lease liability</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w:t>
            </w:r>
            <w:bookmarkStart w:id="202" w:name="xdx_408_eus-gaap--NetCashProvidedByUsedI"/>
            <w:bookmarkEnd w:id="202"/>
          </w:p>
        </w:tc>
      </w:tr>
      <w:tr>
        <w:trPr/>
        <w:tc>
          <w:tcPr>
            <w:tcW w:w="782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(2,491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(1,301</w:t>
            </w:r>
          </w:p>
        </w:tc>
        <w:tc>
          <w:tcPr>
            <w:tcW w:w="110" w:type="dxa"/>
            <w:tcBorders/>
            <w:shd w:fill="FFFFFF" w:val="clear"/>
            <w:vAlign w:val="center"/>
          </w:tcPr>
          <w:p>
            <w:pPr>
              <w:pStyle w:val="TableContents"/>
              <w:bidi w:val="0"/>
              <w:spacing w:before="0" w:after="283"/>
              <w:jc w:val="left"/>
              <w:rPr/>
            </w:pPr>
            <w:r>
              <w:rPr/>
              <w:t>)</w:t>
            </w:r>
            <w:bookmarkStart w:id="203" w:name="xdx_408_eus-gaap--NetCashProvidedByUsedI"/>
            <w:bookmarkEnd w:id="203"/>
          </w:p>
        </w:tc>
      </w:tr>
      <w:tr>
        <w:trPr/>
        <w:tc>
          <w:tcPr>
            <w:tcW w:w="782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4" w:name="xdx_402_eus-gaap--PaymentsToAcquirePrope"/>
            <w:bookmarkEnd w:id="204"/>
          </w:p>
        </w:tc>
      </w:tr>
      <w:tr>
        <w:trPr/>
        <w:tc>
          <w:tcPr>
            <w:tcW w:w="782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(7</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(59</w:t>
            </w:r>
          </w:p>
        </w:tc>
        <w:tc>
          <w:tcPr>
            <w:tcW w:w="110" w:type="dxa"/>
            <w:tcBorders/>
            <w:shd w:fill="FFFFFF" w:val="clear"/>
            <w:vAlign w:val="center"/>
          </w:tcPr>
          <w:p>
            <w:pPr>
              <w:pStyle w:val="TableContents"/>
              <w:bidi w:val="0"/>
              <w:spacing w:before="0" w:after="283"/>
              <w:jc w:val="left"/>
              <w:rPr/>
            </w:pPr>
            <w:r>
              <w:rPr/>
              <w:t>)</w:t>
            </w:r>
            <w:bookmarkStart w:id="205" w:name="xdx_400_ecustom--DisposalOfPropertyAndEq"/>
            <w:bookmarkEnd w:id="205"/>
          </w:p>
        </w:tc>
      </w:tr>
      <w:tr>
        <w:trPr/>
        <w:tc>
          <w:tcPr>
            <w:tcW w:w="7820" w:type="dxa"/>
            <w:tcBorders/>
            <w:shd w:fill="CCEEFF" w:val="clear"/>
            <w:vAlign w:val="center"/>
          </w:tcPr>
          <w:p>
            <w:pPr>
              <w:pStyle w:val="TableContents"/>
              <w:bidi w:val="0"/>
              <w:spacing w:before="0" w:after="283"/>
              <w:jc w:val="left"/>
              <w:rPr/>
            </w:pPr>
            <w:r>
              <w:rPr/>
              <w:t>Disposal of property and equipment, net of cash received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bookmarkStart w:id="206" w:name="xdx_407_eus-gaap--NetCashProvidedByUsedI"/>
            <w:bookmarkEnd w:id="206"/>
          </w:p>
        </w:tc>
      </w:tr>
      <w:tr>
        <w:trPr/>
        <w:tc>
          <w:tcPr>
            <w:tcW w:w="782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w:t>
            </w:r>
            <w:bookmarkStart w:id="207" w:name="xdx_404_eus-gaap--NetCashProvidedByUsedI"/>
            <w:bookmarkEnd w:id="207"/>
          </w:p>
        </w:tc>
      </w:tr>
      <w:tr>
        <w:trPr/>
        <w:tc>
          <w:tcPr>
            <w:tcW w:w="782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8" w:name="xdx_400_ecustom--ProceedsFromIssuanceOfC"/>
            <w:bookmarkEnd w:id="208"/>
          </w:p>
        </w:tc>
      </w:tr>
      <w:tr>
        <w:trPr/>
        <w:tc>
          <w:tcPr>
            <w:tcW w:w="7820" w:type="dxa"/>
            <w:tcBorders/>
            <w:shd w:fill="FFFFFF" w:val="clear"/>
            <w:vAlign w:val="center"/>
          </w:tcPr>
          <w:p>
            <w:pPr>
              <w:pStyle w:val="TableContents"/>
              <w:bidi w:val="0"/>
              <w:spacing w:before="0" w:after="283"/>
              <w:jc w:val="left"/>
              <w:rPr/>
            </w:pPr>
            <w:r>
              <w:rPr/>
              <w:t>Proceeds from issuance of common stock in connection with ATM, net of fees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266</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 w:name="xdx_400_eus-gaap--ProceedsFromIssuanceOf"/>
            <w:bookmarkEnd w:id="209"/>
          </w:p>
        </w:tc>
      </w:tr>
      <w:tr>
        <w:trPr/>
        <w:tc>
          <w:tcPr>
            <w:tcW w:w="7820" w:type="dxa"/>
            <w:tcBorders/>
            <w:shd w:fill="CCEEFF" w:val="clear"/>
            <w:vAlign w:val="center"/>
          </w:tcPr>
          <w:p>
            <w:pPr>
              <w:pStyle w:val="TableContents"/>
              <w:bidi w:val="0"/>
              <w:spacing w:before="0" w:after="283"/>
              <w:jc w:val="left"/>
              <w:rPr/>
            </w:pPr>
            <w:r>
              <w:rPr/>
              <w:t>Proceeds from issuance of common stock and prefunded warrants, net of cash fees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4,399</w:t>
            </w:r>
          </w:p>
        </w:tc>
        <w:tc>
          <w:tcPr>
            <w:tcW w:w="110" w:type="dxa"/>
            <w:tcBorders/>
            <w:shd w:fill="CCEEFF" w:val="clear"/>
            <w:vAlign w:val="center"/>
          </w:tcPr>
          <w:p>
            <w:pPr>
              <w:pStyle w:val="TableContents"/>
              <w:bidi w:val="0"/>
              <w:spacing w:before="0" w:after="283"/>
              <w:jc w:val="left"/>
              <w:rPr/>
            </w:pPr>
            <w:r>
              <w:rPr/>
              <w:t> </w:t>
            </w:r>
            <w:bookmarkStart w:id="210" w:name="xdx_402_eus-gaap--PaymentsForRepurchaseO"/>
            <w:bookmarkEnd w:id="210"/>
          </w:p>
        </w:tc>
      </w:tr>
      <w:tr>
        <w:trPr/>
        <w:tc>
          <w:tcPr>
            <w:tcW w:w="7820" w:type="dxa"/>
            <w:tcBorders/>
            <w:shd w:fill="FFFFFF" w:val="clear"/>
            <w:vAlign w:val="center"/>
          </w:tcPr>
          <w:p>
            <w:pPr>
              <w:pStyle w:val="TableContents"/>
              <w:bidi w:val="0"/>
              <w:spacing w:before="0" w:after="283"/>
              <w:jc w:val="left"/>
              <w:rPr/>
            </w:pPr>
            <w:r>
              <w:rPr/>
              <w:t>Purchase of common stock into treasury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w:t>
            </w:r>
            <w:bookmarkStart w:id="211" w:name="xdx_404_eus-gaap--RepaymentsOfDebt_i01N_"/>
            <w:bookmarkEnd w:id="211"/>
          </w:p>
        </w:tc>
      </w:tr>
      <w:tr>
        <w:trPr/>
        <w:tc>
          <w:tcPr>
            <w:tcW w:w="7820" w:type="dxa"/>
            <w:tcBorders/>
            <w:shd w:fill="CCEEFF" w:val="clear"/>
            <w:vAlign w:val="center"/>
          </w:tcPr>
          <w:p>
            <w:pPr>
              <w:pStyle w:val="TableContents"/>
              <w:bidi w:val="0"/>
              <w:spacing w:before="0" w:after="283"/>
              <w:jc w:val="left"/>
              <w:rPr/>
            </w:pPr>
            <w:r>
              <w:rPr/>
              <w:t>Payments on debt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(19</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jc w:val="left"/>
              <w:rPr/>
            </w:pPr>
            <w:r>
              <w:rPr/>
              <w:t>)</w:t>
            </w:r>
            <w:bookmarkStart w:id="212" w:name="xdx_40A_eus-gaap--NetCashProvidedByUsedI"/>
            <w:bookmarkEnd w:id="212"/>
          </w:p>
        </w:tc>
      </w:tr>
      <w:tr>
        <w:trPr/>
        <w:tc>
          <w:tcPr>
            <w:tcW w:w="782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4,266</w:t>
            </w:r>
          </w:p>
        </w:tc>
        <w:tc>
          <w:tcPr>
            <w:tcW w:w="110" w:type="dxa"/>
            <w:tcBorders/>
            <w:shd w:fill="FFFFFF" w:val="clear"/>
            <w:vAlign w:val="center"/>
          </w:tcPr>
          <w:p>
            <w:pPr>
              <w:pStyle w:val="TableContents"/>
              <w:bidi w:val="0"/>
              <w:spacing w:before="0" w:after="283"/>
              <w:jc w:val="left"/>
              <w:rPr/>
            </w:pPr>
            <w:r>
              <w:rPr/>
              <w:t> </w:t>
            </w:r>
            <w:bookmarkStart w:id="213" w:name="xdx_401_eus-gaap--CashCashEquivalentsRes"/>
            <w:bookmarkEnd w:id="213"/>
          </w:p>
        </w:tc>
      </w:tr>
      <w:tr>
        <w:trPr/>
        <w:tc>
          <w:tcPr>
            <w:tcW w:w="782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(2,251</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2,902</w:t>
            </w:r>
          </w:p>
        </w:tc>
        <w:tc>
          <w:tcPr>
            <w:tcW w:w="110" w:type="dxa"/>
            <w:tcBorders/>
            <w:shd w:fill="CCEEFF" w:val="clear"/>
            <w:vAlign w:val="center"/>
          </w:tcPr>
          <w:p>
            <w:pPr>
              <w:pStyle w:val="TableContents"/>
              <w:bidi w:val="0"/>
              <w:spacing w:before="0" w:after="283"/>
              <w:jc w:val="left"/>
              <w:rPr/>
            </w:pPr>
            <w:r>
              <w:rPr/>
              <w:t> </w:t>
            </w:r>
            <w:bookmarkStart w:id="214" w:name="xdx_400_eus-gaap--CashCashEquivalentsRes"/>
            <w:bookmarkEnd w:id="214"/>
          </w:p>
        </w:tc>
      </w:tr>
      <w:tr>
        <w:trPr/>
        <w:tc>
          <w:tcPr>
            <w:tcW w:w="7820" w:type="dxa"/>
            <w:tcBorders/>
            <w:shd w:fill="FFFFFF" w:val="clear"/>
            <w:vAlign w:val="center"/>
          </w:tcPr>
          <w:p>
            <w:pPr>
              <w:pStyle w:val="TableContents"/>
              <w:bidi w:val="0"/>
              <w:spacing w:before="0" w:after="283"/>
              <w:jc w:val="left"/>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4,140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3,598</w:t>
            </w:r>
          </w:p>
        </w:tc>
        <w:tc>
          <w:tcPr>
            <w:tcW w:w="110" w:type="dxa"/>
            <w:tcBorders/>
            <w:shd w:fill="FFFFFF" w:val="clear"/>
            <w:vAlign w:val="center"/>
          </w:tcPr>
          <w:p>
            <w:pPr>
              <w:pStyle w:val="TableContents"/>
              <w:bidi w:val="0"/>
              <w:spacing w:before="0" w:after="283"/>
              <w:jc w:val="left"/>
              <w:rPr/>
            </w:pPr>
            <w:r>
              <w:rPr/>
              <w:t> </w:t>
            </w:r>
            <w:bookmarkStart w:id="215" w:name="xdx_40A_eus-gaap--CashCashEquivalentsRes"/>
            <w:bookmarkEnd w:id="215"/>
          </w:p>
        </w:tc>
      </w:tr>
      <w:tr>
        <w:trPr/>
        <w:tc>
          <w:tcPr>
            <w:tcW w:w="7820"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1,889</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6,500</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6" w:name="xdx_40D_eus-gaap--CashFlowNoncashInvesti"/>
            <w:bookmarkEnd w:id="216"/>
          </w:p>
        </w:tc>
      </w:tr>
      <w:tr>
        <w:trPr/>
        <w:tc>
          <w:tcPr>
            <w:tcW w:w="7820"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7" w:name="xdx_406_ecustom--DebtIssuedForPrepaidIns"/>
            <w:bookmarkEnd w:id="217"/>
          </w:p>
        </w:tc>
      </w:tr>
      <w:tr>
        <w:trPr/>
        <w:tc>
          <w:tcPr>
            <w:tcW w:w="7820" w:type="dxa"/>
            <w:tcBorders/>
            <w:shd w:fill="FFFFFF" w:val="clear"/>
            <w:vAlign w:val="center"/>
          </w:tcPr>
          <w:p>
            <w:pPr>
              <w:pStyle w:val="TableContents"/>
              <w:bidi w:val="0"/>
              <w:spacing w:before="0" w:after="283"/>
              <w:jc w:val="left"/>
              <w:rPr/>
            </w:pPr>
            <w:r>
              <w:rPr/>
              <w:t>Debt issued for prepaid insurance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118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145</w:t>
            </w:r>
          </w:p>
        </w:tc>
        <w:tc>
          <w:tcPr>
            <w:tcW w:w="110" w:type="dxa"/>
            <w:tcBorders/>
            <w:shd w:fill="FFFFFF" w:val="clear"/>
            <w:vAlign w:val="center"/>
          </w:tcPr>
          <w:p>
            <w:pPr>
              <w:pStyle w:val="TableContents"/>
              <w:bidi w:val="0"/>
              <w:spacing w:before="0" w:after="283"/>
              <w:jc w:val="left"/>
              <w:rPr/>
            </w:pPr>
            <w:r>
              <w:rPr/>
              <w:t> </w:t>
            </w:r>
            <w:bookmarkStart w:id="218" w:name="xdx_402_ecustom--NoncashDisposalOfSubsid"/>
            <w:bookmarkEnd w:id="218"/>
          </w:p>
        </w:tc>
      </w:tr>
      <w:tr>
        <w:trPr/>
        <w:tc>
          <w:tcPr>
            <w:tcW w:w="7820" w:type="dxa"/>
            <w:tcBorders/>
            <w:shd w:fill="CCEEFF" w:val="clear"/>
            <w:vAlign w:val="center"/>
          </w:tcPr>
          <w:p>
            <w:pPr>
              <w:pStyle w:val="TableContents"/>
              <w:bidi w:val="0"/>
              <w:spacing w:before="0" w:after="283"/>
              <w:jc w:val="left"/>
              <w:rPr/>
            </w:pPr>
            <w:r>
              <w:rPr/>
              <w:t>Non-cash disposal of subsidiary assets (see Note 2)</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(743</w:t>
            </w:r>
          </w:p>
        </w:tc>
        <w:tc>
          <w:tcPr>
            <w:tcW w:w="110" w:type="dxa"/>
            <w:tcBorders/>
            <w:shd w:fill="CCEEFF" w:val="clear"/>
            <w:vAlign w:val="center"/>
          </w:tcPr>
          <w:p>
            <w:pPr>
              <w:pStyle w:val="TableContents"/>
              <w:bidi w:val="0"/>
              <w:spacing w:before="0" w:after="283"/>
              <w:jc w:val="left"/>
              <w:rPr/>
            </w:pPr>
            <w:r>
              <w:rPr/>
              <w:t>)</w:t>
            </w:r>
            <w:bookmarkStart w:id="219" w:name="xdx_40C_ecustom--NoncashDisposalOfSubsid"/>
            <w:bookmarkEnd w:id="219"/>
          </w:p>
        </w:tc>
      </w:tr>
      <w:tr>
        <w:trPr/>
        <w:tc>
          <w:tcPr>
            <w:tcW w:w="7820" w:type="dxa"/>
            <w:tcBorders/>
            <w:shd w:fill="FFFFFF" w:val="clear"/>
            <w:vAlign w:val="center"/>
          </w:tcPr>
          <w:p>
            <w:pPr>
              <w:pStyle w:val="TableContents"/>
              <w:bidi w:val="0"/>
              <w:spacing w:before="0" w:after="283"/>
              <w:jc w:val="left"/>
              <w:rPr/>
            </w:pPr>
            <w:r>
              <w:rPr/>
              <w:t>Non-cash disposal of subsidiary liabilities (see Note 2)</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719</w:t>
            </w:r>
          </w:p>
        </w:tc>
        <w:tc>
          <w:tcPr>
            <w:tcW w:w="110" w:type="dxa"/>
            <w:tcBorders/>
            <w:shd w:fill="FFFFFF" w:val="clear"/>
            <w:vAlign w:val="center"/>
          </w:tcPr>
          <w:p>
            <w:pPr>
              <w:pStyle w:val="TableContents"/>
              <w:bidi w:val="0"/>
              <w:spacing w:before="0" w:after="283"/>
              <w:jc w:val="left"/>
              <w:rPr/>
            </w:pPr>
            <w:r>
              <w:rPr/>
              <w:t> </w:t>
            </w:r>
            <w:bookmarkStart w:id="220" w:name="xdx_400_eus-gaap--SupplementalCashFlowIn"/>
            <w:bookmarkEnd w:id="220"/>
          </w:p>
        </w:tc>
      </w:tr>
      <w:tr>
        <w:trPr/>
        <w:tc>
          <w:tcPr>
            <w:tcW w:w="782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1" w:name="xdx_402_eus-gaap--InterestPaidNet_i01_z5"/>
            <w:bookmarkEnd w:id="221"/>
          </w:p>
        </w:tc>
      </w:tr>
      <w:tr>
        <w:trPr/>
        <w:tc>
          <w:tcPr>
            <w:tcW w:w="782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12</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22" w:name="a_005"/>
      <w:bookmarkEnd w:id="222"/>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23" w:name="xdx_80F_eus-gaap--OrganizationConsolidat"/>
      <w:bookmarkEnd w:id="223"/>
      <w:r>
        <w:rPr>
          <w:rFonts w:ascii="Times New Roman;Times;Serif" w:hAnsi="Times New Roman;Times;Serif"/>
          <w:b/>
          <w:i w:val="false"/>
          <w:caps w:val="false"/>
          <w:smallCaps w:val="false"/>
          <w:sz w:val="20"/>
        </w:rPr>
        <w:t xml:space="preserve">1. </w:t>
      </w:r>
      <w:bookmarkStart w:id="224" w:name="xdx_82E_zv5MTblE4Exg"/>
      <w:bookmarkEnd w:id="224"/>
      <w:r>
        <w:rPr>
          <w:rFonts w:ascii="Times New Roman;Times;Serif" w:hAnsi="Times New Roman;Times;Serif"/>
          <w:b/>
          <w:i w:val="false"/>
          <w:caps w:val="false"/>
          <w:smallCaps w:val="false"/>
          <w:sz w:val="20"/>
        </w:rPr>
        <w:t>Organization and 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SINTX Technologies, Inc. (“SINTX”, or the “Company”) and its wholly-owned subsidiaries, SINTX Armor, Inc. (“SINTX Armor”), SINTX Agribiotech, Inc., Sinaptic Surgical, LLC, and Technology Assessment and Transfer, Inc. (TA&amp;T) through February 19, 2025 (see Note 2), which are collectively referred to as “we” or the “Company.” SINTX Technologies is an advanced ceramics company formed in December 1996 that develops and commercializes materials, components, and technologies for medical, industrial and agribiotech applications. SINTX develops silicon nitride (Si₃N₄)-based biomedical solutions for musculoskeletal and antipathogenic medical device applications. The Company also manufactures advanced silicon nitride components for leading industrial customers operating in high-performance and mission-critical applications. SINTX is a global leader in the research, development, and manufacturing of silicon nitride, and its products have been implanted in humans since 2008.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Core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Since its inception, SINTX has focused on medical-grade silicon nitride. SINTX biomedical products have been shown to be biocompatible, bioactive, antipathogenic, and to exhibit strong bone affinity. Spinal implants made from SINTX silicon nitride have been successfully implanted in humans since 2008 in the U.S., Europe, South America, and Asia. In October 2025, SINTX received U.S. Food and Drug Administration (FDA) 510(k) clearance for the SiNAPTIC® Foot &amp; Ankle Osteotomy Wedge System, enabling SINTX’s commercial entry into reconstructive foot and ankle surgery in the U.S. In March 2026, a SiNAPTIC wedge manufactured from Si₃N₄ was utilized in a reconstructive foot and ankle procedure in the U.S. This established clinical use, together with silicon nitride’s inherent resistance to bacterial adhesion and strong bone affinity, suggests potential suitability for additional orthopedic and fusion-related applications including arthroplasty implants and dental implants.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SINTX believes that by incorporating its unique composition of silicon nitride antipathogenic powder into products such as face masks, drapes, filters, sutures, and wound care devices, it is possible to manufacture surfaces that inactivate pathogens, thereby limiting the spread of infection and disease. We presently manufacture advanced ceramic powders and components in our manufacturing facilities based in Salt Lake City, Utah.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Industrial Applications:</w:t>
      </w:r>
      <w:r>
        <w:rPr>
          <w:rFonts w:ascii="Times New Roman;Times;Serif" w:hAnsi="Times New Roman;Times;Serif"/>
          <w:b w:val="false"/>
          <w:i w:val="false"/>
          <w:caps w:val="false"/>
          <w:smallCaps w:val="false"/>
          <w:sz w:val="20"/>
        </w:rPr>
        <w:t xml:space="preserve"> SINTX manufactures advanced silicon nitride ceramic components for industrial customers operating in demanding technical and high-performance environments. The Company’s silicon nitride materials are utilized in applications requiring exceptional mechanical strength, thermal stability, wear resistance, and corrosion resistance. Industrial applications have become an increasingly significant component of the Company’s commercial activities, with SINTX collaborating with industrial partners to develop precision-engineered ceramic solutions across multiple end markets. The Company believes its expertise in silicon nitride processing, advanced manufacturing, and materials science positions SINTX to support continued growth in industrial applications.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SINTX Salt Lake City facility is registered with the FDA, is cGMP and ANVISA RDC 665 compliant, as well as being ISO 9001:2015, ISO 13485:2016 certified, and AS9100D certified. The Company’s products are primarily sold in the United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25" w:name="xdx_864_zsoOUke5rT34"/>
      <w:bookmarkStart w:id="226" w:name="xdx_841_eus-gaap--BasisOfAccountingPolic"/>
      <w:bookmarkEnd w:id="225"/>
      <w:bookmarkEnd w:id="226"/>
      <w:r>
        <w:rPr>
          <w:rFonts w:ascii="Times New Roman;Times;Serif" w:hAnsi="Times New Roman;Times;Serif"/>
          <w:b w:val="false"/>
          <w:i/>
          <w:caps w:val="false"/>
          <w:smallCaps w:val="false"/>
          <w:sz w:val="20"/>
        </w:rPr>
        <w:t>Basis of Presentation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have been prepared in accordance with the rules and regulations of the United States Securities and Exchange Commission (“SEC”) and include all assets and liabilities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and regulations allow the omission of certain information and footnote disclosures normally included in financial statements prepared in accordance with U.S. generally accepted accounting principles (“U.S. GAAP”) so long as the statements are not misleading. In the opinion of management, these financial statements and accompanying notes contain all adjustments (consisting of normal recurring adjustments) necessary to present fairly the financial position and results of operations for the periods presented herein. These condensed consolidated financial statements should be read in conjunction with the consolidated audited financial statements and notes thereto contained in the Company’s Annual Report on Form 10-K for the year ended December 31, 2025, filed with the SEC on March 20, 2026. The results of operations for the three months ended March 31, 2026 are not necessarily indicative of the results to be expected for the year ending December 31, 2026. The Company’s significant accounting policies are set forth in Note 1 to the consolidated financial statements in its Annual Report on Form 10-K for the year ended December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27" w:name="xdx_864_z4RgvuvcrvX1"/>
      <w:bookmarkStart w:id="228" w:name="xdx_84C_eus-gaap--SegmentReportingPolicy"/>
      <w:bookmarkEnd w:id="227"/>
      <w:bookmarkEnd w:id="228"/>
      <w:r>
        <w:rPr>
          <w:rFonts w:ascii="Times New Roman;Times;Serif" w:hAnsi="Times New Roman;Times;Serif"/>
          <w:b w:val="false"/>
          <w:i/>
          <w:caps w:val="false"/>
          <w:smallCaps w:val="false"/>
          <w:sz w:val="20"/>
        </w:rPr>
        <w:t>Segment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229" w:name="xdx_90D_eus-gaap--NumberOfOperatingSegme"/>
      <w:bookmarkEnd w:id="229"/>
      <w:r>
        <w:rPr>
          <w:rFonts w:ascii="Times New Roman;Times;Serif" w:hAnsi="Times New Roman;Times;Serif"/>
          <w:b w:val="false"/>
          <w:i w:val="false"/>
          <w:caps w:val="false"/>
          <w:smallCaps w:val="false"/>
          <w:sz w:val="20"/>
        </w:rPr>
        <w:t>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condensed consolidated statements of operations and comprehensive loss. Because the Company operates as one operating segment, financial segment information, including expense and asset information, can be found in the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30" w:name="xdx_860_z1RNud8jgi6"/>
      <w:bookmarkStart w:id="231" w:name="xdx_84C_eus-gaap--PriorPeriodReclassific"/>
      <w:bookmarkEnd w:id="230"/>
      <w:bookmarkEnd w:id="231"/>
      <w:r>
        <w:rPr>
          <w:rFonts w:ascii="Times New Roman;Times;Serif" w:hAnsi="Times New Roman;Times;Serif"/>
          <w:b w:val="false"/>
          <w:i/>
          <w:caps w:val="false"/>
          <w:smallCaps w:val="false"/>
          <w:sz w:val="20"/>
        </w:rPr>
        <w:t>Reclassification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prior period balances have been reclassified to conform to the current period presentation.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32" w:name="xdx_86F_zv7s61IcgRae"/>
      <w:bookmarkStart w:id="233" w:name="xdx_84A_eus-gaap--UseOfEstimates_zf4OElw"/>
      <w:bookmarkEnd w:id="232"/>
      <w:bookmarkEnd w:id="233"/>
      <w:r>
        <w:rPr>
          <w:rFonts w:ascii="Times New Roman;Times;Serif" w:hAnsi="Times New Roman;Times;Serif"/>
          <w:b w:val="false"/>
          <w:i/>
          <w:caps w:val="false"/>
          <w:smallCaps w:val="false"/>
          <w:sz w:val="20"/>
        </w:rPr>
        <w:t>Use of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period. Actual results could differ from those estimates. As of March 31, 2026, the most significant estimate relates to derivative liabilities relating to common stock warrants.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34" w:name="xdx_86A_zPwwTTaAfGdi"/>
      <w:bookmarkStart w:id="235" w:name="xdx_84B_ecustom--LiquidityAndCapitalReso"/>
      <w:bookmarkEnd w:id="234"/>
      <w:bookmarkEnd w:id="235"/>
      <w:r>
        <w:rPr>
          <w:rFonts w:ascii="Times New Roman;Times;Serif" w:hAnsi="Times New Roman;Times;Serif"/>
          <w:b w:val="false"/>
          <w:i/>
          <w:caps w:val="false"/>
          <w:smallCaps w:val="false"/>
          <w:sz w:val="20"/>
        </w:rPr>
        <w:t xml:space="preserve">Liquidity and Capital Resources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to operate as a going concern. To date, the Company’s operations have been principally financed from proceeds from the issuance of preferred and common stock and, to a lesser extent, cash generated from product sales. It is anticipated that the Company will continue to generate operating losses and use cash in operations. The Company’s continuation as a going concern is dependent upon its ability to increase sales, decrease expenses and raise additional funding. The Company continues to seek opportunities to raise additional funding through equity and/or debt financing. However, such funding is not guaranteed and may not be available to the Company on favorable terms and may involve restrictive covenants. If the Company is not able to obtain additional debt or equity financing, the impact on the Company will be material and adverse.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incurred a net loss of $</w:t>
      </w:r>
      <w:bookmarkStart w:id="236" w:name="xdx_900_eus-gaap--NetIncomeLoss_iN_pn5n6"/>
      <w:bookmarkEnd w:id="236"/>
      <w:r>
        <w:rPr>
          <w:rFonts w:ascii="Times New Roman;Times;Serif" w:hAnsi="Times New Roman;Times;Serif"/>
          <w:b w:val="false"/>
          <w:i w:val="false"/>
          <w:caps w:val="false"/>
          <w:smallCaps w:val="false"/>
          <w:sz w:val="20"/>
        </w:rPr>
        <w:t>2.8 million and $</w:t>
      </w:r>
      <w:bookmarkStart w:id="237" w:name="xdx_904_eus-gaap--NetIncomeLoss_iN_pn5n6"/>
      <w:bookmarkEnd w:id="237"/>
      <w:r>
        <w:rPr>
          <w:rFonts w:ascii="Times New Roman;Times;Serif" w:hAnsi="Times New Roman;Times;Serif"/>
          <w:b w:val="false"/>
          <w:i w:val="false"/>
          <w:caps w:val="false"/>
          <w:smallCaps w:val="false"/>
          <w:sz w:val="20"/>
        </w:rPr>
        <w:t>2.3 million, respectively, and used cash in operating activities of $</w:t>
      </w:r>
      <w:bookmarkStart w:id="238" w:name="xdx_902_eus-gaap--NetCashProvidedByUsedI"/>
      <w:bookmarkEnd w:id="238"/>
      <w:r>
        <w:rPr>
          <w:rFonts w:ascii="Times New Roman;Times;Serif" w:hAnsi="Times New Roman;Times;Serif"/>
          <w:b w:val="false"/>
          <w:i w:val="false"/>
          <w:caps w:val="false"/>
          <w:smallCaps w:val="false"/>
          <w:sz w:val="20"/>
        </w:rPr>
        <w:t>2.5 million and $</w:t>
      </w:r>
      <w:bookmarkStart w:id="239" w:name="xdx_90C_eus-gaap--NetCashProvidedByUsedI"/>
      <w:bookmarkEnd w:id="239"/>
      <w:r>
        <w:rPr>
          <w:rFonts w:ascii="Times New Roman;Times;Serif" w:hAnsi="Times New Roman;Times;Serif"/>
          <w:b w:val="false"/>
          <w:i w:val="false"/>
          <w:caps w:val="false"/>
          <w:smallCaps w:val="false"/>
          <w:sz w:val="20"/>
        </w:rPr>
        <w:t>1.3 million, respectively. The Company had an accumulated deficit of $</w:t>
      </w:r>
      <w:bookmarkStart w:id="240" w:name="xdx_903_eus-gaap--RetainedEarningsAccumu"/>
      <w:bookmarkEnd w:id="240"/>
      <w:r>
        <w:rPr>
          <w:rFonts w:ascii="Times New Roman;Times;Serif" w:hAnsi="Times New Roman;Times;Serif"/>
          <w:b w:val="false"/>
          <w:i w:val="false"/>
          <w:caps w:val="false"/>
          <w:smallCaps w:val="false"/>
          <w:sz w:val="20"/>
        </w:rPr>
        <w:t>295 million and $</w:t>
      </w:r>
      <w:bookmarkStart w:id="241" w:name="xdx_90E_eus-gaap--RetainedEarningsAccumu"/>
      <w:bookmarkEnd w:id="241"/>
      <w:r>
        <w:rPr>
          <w:rFonts w:ascii="Times New Roman;Times;Serif" w:hAnsi="Times New Roman;Times;Serif"/>
          <w:b w:val="false"/>
          <w:i w:val="false"/>
          <w:caps w:val="false"/>
          <w:smallCaps w:val="false"/>
          <w:sz w:val="20"/>
        </w:rPr>
        <w:t>292 million as of March 31, 2026, and December 31,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management remain aligned in advancing the Company’s strategic direction and business objectives. While the Company expects to continue generating a significant portion of its revenues from its industrial business operations, management is increasingly concentrating resources on high-growth areas within the healthcare sector where the Company’s proprietary materials and technologies—such as silicon nitride—provide a distinct competitive advantage due to their unique strength, durability, and biocompatibility. The Company believes its established industrial activities provide an important operational and revenue foundation that supports the continued development and commercialization of its medical technologies. Building upon its established advanced materials expertise and recent FDA 510(k) clearance of the SiNAPTIC Foot &amp; Ankle Osteotomy Wedge System, SINTX is focused on commercializing its medical technologies and advancing additional silicon nitride-based compositions and applications for orthopedic, spinal, wound care, and other medical markets in order to expand its footprint in the medical device sector and support long-term shareholder value creation.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strategic review of its operations aimed at improving operational efficiency and reducing costs, as discussed in Note 2 to the condensed consolidated financial statements, on February 19, 2025, the Company sold to Tethon all the issued and outstanding shares of TA&amp;T in exchange for the assumption by Tethon of the outstanding liabilities of 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further detail above, in October 2025, the Company received FDA 510(k) clearance for a new foot and ankle osteotomy wedge system, enabling SINTX’s commercial entry into reconstructive foot and ankle surgery in the United States. Revenue was recognized during Q1 2026 and is expected to increase throughout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9 to the condensed consolidated financial statements, in October 2025, the Company entered into the 2025 ATM Agreement to sell shares of its common stock from time to time, through an “at the market offering” program, having an aggregate offering price of $</w:t>
      </w:r>
      <w:bookmarkStart w:id="242" w:name="xdx_90C_eus-gaap--SaleOfStockConsiderati"/>
      <w:bookmarkEnd w:id="242"/>
      <w:r>
        <w:rPr>
          <w:rFonts w:ascii="Times New Roman;Times;Serif" w:hAnsi="Times New Roman;Times;Serif"/>
          <w:b w:val="false"/>
          <w:i w:val="false"/>
          <w:caps w:val="false"/>
          <w:smallCaps w:val="false"/>
          <w:sz w:val="20"/>
        </w:rPr>
        <w:t>6.4 million. Through March 31, 2026, the Company has sold $</w:t>
      </w:r>
      <w:bookmarkStart w:id="243" w:name="xdx_900_ecustom--SaleOfStockInRemainingA"/>
      <w:bookmarkEnd w:id="243"/>
      <w:r>
        <w:rPr>
          <w:rFonts w:ascii="Times New Roman;Times;Serif" w:hAnsi="Times New Roman;Times;Serif"/>
          <w:b w:val="false"/>
          <w:i w:val="false"/>
          <w:caps w:val="false"/>
          <w:smallCaps w:val="false"/>
          <w:sz w:val="20"/>
        </w:rPr>
        <w:t>0.7 million under the ATM, leaving a remaining balance of $</w:t>
      </w:r>
      <w:bookmarkStart w:id="244" w:name="xdx_902_eus-gaap--SaleOfStockConsiderati"/>
      <w:bookmarkEnd w:id="244"/>
      <w:r>
        <w:rPr>
          <w:rFonts w:ascii="Times New Roman;Times;Serif" w:hAnsi="Times New Roman;Times;Serif"/>
          <w:b w:val="false"/>
          <w:i w:val="false"/>
          <w:caps w:val="false"/>
          <w:smallCaps w:val="false"/>
          <w:sz w:val="20"/>
        </w:rPr>
        <w:t>5.7 million available under the ATM. Subsequent to March 31, 2026, the Company sold an additional $</w:t>
      </w:r>
      <w:bookmarkStart w:id="245" w:name="xdx_904_eus-gaap--SaleOfStockConsiderati"/>
      <w:bookmarkEnd w:id="245"/>
      <w:r>
        <w:rPr>
          <w:rFonts w:ascii="Times New Roman;Times;Serif" w:hAnsi="Times New Roman;Times;Serif"/>
          <w:b w:val="false"/>
          <w:i w:val="false"/>
          <w:caps w:val="false"/>
          <w:smallCaps w:val="false"/>
          <w:sz w:val="20"/>
        </w:rPr>
        <w:t>0.5 million under the ATM.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12 to the condensed consolidated financial statements, in October 2025, the Company entered into a sublease agreement to lease the SINTX Armor facility, that is expected to save the Company approximately $</w:t>
      </w:r>
      <w:bookmarkStart w:id="246" w:name="xdx_902_eus-gaap--SubleaseIncome_pn5n6_c"/>
      <w:bookmarkEnd w:id="246"/>
      <w:r>
        <w:rPr>
          <w:rFonts w:ascii="Times New Roman;Times;Serif" w:hAnsi="Times New Roman;Times;Serif"/>
          <w:b w:val="false"/>
          <w:i w:val="false"/>
          <w:caps w:val="false"/>
          <w:smallCaps w:val="false"/>
          <w:sz w:val="20"/>
        </w:rPr>
        <w:t>1.0 million over the sublease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actions undertaken by management to improve liquidity and operating costs—including the divestiture of non-core operations, implementation of cost improvement initiatives, commercialization of newly cleared medical products, access to capital through the Company’s ATM program, and execution of the Armor facility sublease—management has concluded that substantial doubt remains regarding the Company’s ability to continue as a going concern for a period of at least 12 months from the date these condensed consolidated financial statements are issued. The Company’s ability to continue as a going concern will depend on its ability to generate increased revenues, achieve profitability, obtain additional financing, and successfully execute its strategic business objectives. The condensed consolidated financial statements do not include any adjustments that might result from the outcome of these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47" w:name="xdx_86B_zZtTTzzHHIxb"/>
      <w:bookmarkStart w:id="248" w:name="xdx_844_eus-gaap--NewAccountingPronounce"/>
      <w:bookmarkEnd w:id="247"/>
      <w:bookmarkEnd w:id="248"/>
      <w:r>
        <w:rPr>
          <w:rFonts w:ascii="Times New Roman;Times;Serif" w:hAnsi="Times New Roman;Times;Serif"/>
          <w:b w:val="false"/>
          <w:i/>
          <w:caps w:val="false"/>
          <w:smallCaps w:val="false"/>
          <w:sz w:val="20"/>
        </w:rPr>
        <w:t xml:space="preserve">Recent Accounting Pronouncements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2024-03, Income Statement—Reporting Comprehensive Income (Topic 220): Disaggregation of Income Statement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recently issued accounting standards, other than the above discussed, will not have a material impact on its consolidated financial position, results of operations or cash flows.</w:t>
      </w:r>
    </w:p>
    <w:p>
      <w:pPr>
        <w:pStyle w:val="TextBody"/>
        <w:pBdr/>
        <w:bidi w:val="0"/>
        <w:spacing w:before="0" w:after="0"/>
        <w:ind w:left="0" w:right="0" w:hanging="0"/>
        <w:jc w:val="both"/>
        <w:rPr>
          <w:caps w:val="false"/>
          <w:smallCaps w:val="false"/>
        </w:rPr>
      </w:pPr>
      <w:bookmarkStart w:id="249" w:name="xdx_85C_zhFmnCZg13Y4"/>
      <w:bookmarkEnd w:id="249"/>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50" w:name="xdx_801_eus-gaap--DisposalGroupsIncludin"/>
      <w:bookmarkEnd w:id="250"/>
      <w:r>
        <w:rPr>
          <w:rFonts w:ascii="Times New Roman;Times;Serif" w:hAnsi="Times New Roman;Times;Serif"/>
          <w:b/>
          <w:i w:val="false"/>
          <w:caps w:val="false"/>
          <w:smallCaps w:val="false"/>
          <w:sz w:val="20"/>
        </w:rPr>
        <w:t xml:space="preserve">2. </w:t>
      </w:r>
      <w:bookmarkStart w:id="251" w:name="xdx_828_zNHzYruLsrql"/>
      <w:bookmarkEnd w:id="251"/>
      <w:r>
        <w:rPr>
          <w:rFonts w:ascii="Times New Roman;Times;Serif" w:hAnsi="Times New Roman;Times;Serif"/>
          <w:b/>
          <w:i w:val="false"/>
          <w:caps w:val="false"/>
          <w:smallCaps w:val="false"/>
          <w:sz w:val="20"/>
        </w:rPr>
        <w:t>Disposition of 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2025, the Company entered into an Entity Acquisition Agreement (the “Agreement”) with Tethon Corporation (“Tethon”), pursuant to which the Company sold to Tethon all the issued and outstanding shares of TA&amp;T in exchange for the assumption by Tethon of the outstanding liabilities of TA&amp;T. The disposal did not represent a strategic shift that will have a major effect on the Company’s operations and financials and, therefore, did not qualify for discontinued operations treatment under ASC 205-20.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52" w:name="xdx_891_eus-gaap--ScheduleOfDisposalGrou"/>
      <w:bookmarkEnd w:id="252"/>
      <w:r>
        <w:rPr>
          <w:rFonts w:ascii="Times New Roman;Times;Serif" w:hAnsi="Times New Roman;Times;Serif"/>
          <w:b w:val="false"/>
          <w:i w:val="false"/>
          <w:caps w:val="false"/>
          <w:smallCaps w:val="false"/>
          <w:sz w:val="20"/>
        </w:rPr>
        <w:t>The following table summarizes the carrying amounts of the major classes of assets and liabilities of TA&amp;T at the date of sale that were transferred to the Tethon (in thousands):</w:t>
      </w:r>
    </w:p>
    <w:p>
      <w:pPr>
        <w:pStyle w:val="TextBody"/>
        <w:pBdr/>
        <w:bidi w:val="0"/>
        <w:spacing w:before="0" w:after="0"/>
        <w:ind w:left="0" w:right="0" w:hanging="0"/>
        <w:jc w:val="both"/>
        <w:rPr>
          <w:caps w:val="false"/>
          <w:smallCaps w:val="false"/>
        </w:rPr>
      </w:pPr>
      <w:r>
        <w:rPr>
          <w:caps w:val="false"/>
          <w:smallCaps w:val="false"/>
        </w:rPr>
        <w:t> </w:t>
      </w:r>
      <w:bookmarkStart w:id="253" w:name="xdx_8BC_zqTqXJqaNk08"/>
      <w:bookmarkEnd w:id="253"/>
      <w:r>
        <w:rPr>
          <w:rFonts w:ascii="Times New Roman;Times;Serif" w:hAnsi="Times New Roman;Times;Serif"/>
          <w:b w:val="false"/>
          <w:i w:val="false"/>
          <w:caps w:val="false"/>
          <w:smallCaps w:val="false"/>
          <w:sz w:val="20"/>
        </w:rPr>
        <w:t>Schedule of Major Classes of Assets and Liabilities of TA &amp; T at the Date of Sale</w:t>
      </w:r>
    </w:p>
    <w:tbl>
      <w:tblPr>
        <w:tblW w:w="4769" w:type="dxa"/>
        <w:jc w:val="left"/>
        <w:tblInd w:w="0" w:type="dxa"/>
        <w:tblLayout w:type="fixed"/>
        <w:tblCellMar>
          <w:top w:w="0" w:type="dxa"/>
          <w:left w:w="0" w:type="dxa"/>
          <w:bottom w:w="0" w:type="dxa"/>
          <w:right w:w="0" w:type="dxa"/>
        </w:tblCellMar>
      </w:tblPr>
      <w:tblGrid>
        <w:gridCol w:w="2705"/>
        <w:gridCol w:w="60"/>
        <w:gridCol w:w="445"/>
        <w:gridCol w:w="1449"/>
        <w:gridCol w:w="110"/>
      </w:tblGrid>
      <w:tr>
        <w:trPr/>
        <w:tc>
          <w:tcPr>
            <w:tcW w:w="27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54" w:name="xdx_498_20250219_zamivrt0XmN2"/>
            <w:bookmarkEnd w:id="254"/>
          </w:p>
        </w:tc>
        <w:tc>
          <w:tcPr>
            <w:tcW w:w="18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February 19, 2025</w:t>
            </w:r>
          </w:p>
        </w:tc>
        <w:tc>
          <w:tcPr>
            <w:tcW w:w="110" w:type="dxa"/>
            <w:tcBorders/>
            <w:vAlign w:val="center"/>
          </w:tcPr>
          <w:p>
            <w:pPr>
              <w:pStyle w:val="TableContents"/>
              <w:bidi w:val="0"/>
              <w:spacing w:before="0" w:after="283"/>
              <w:jc w:val="left"/>
              <w:rPr/>
            </w:pPr>
            <w:r>
              <w:rPr/>
              <w:t> </w:t>
            </w:r>
            <w:bookmarkStart w:id="255" w:name="xdx_400_eus-gaap--CashAndCashEquivalents"/>
            <w:bookmarkEnd w:id="255"/>
          </w:p>
        </w:tc>
      </w:tr>
      <w:tr>
        <w:trPr/>
        <w:tc>
          <w:tcPr>
            <w:tcW w:w="270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256" w:name="xdx_40E_eus-gaap--InventoryNet_iI_pn3n3_"/>
            <w:bookmarkEnd w:id="256"/>
          </w:p>
        </w:tc>
      </w:tr>
      <w:tr>
        <w:trPr/>
        <w:tc>
          <w:tcPr>
            <w:tcW w:w="2705" w:type="dxa"/>
            <w:tcBorders/>
            <w:shd w:fill="FFFFFF" w:val="clear"/>
            <w:vAlign w:val="center"/>
          </w:tcPr>
          <w:p>
            <w:pPr>
              <w:pStyle w:val="TableContents"/>
              <w:bidi w:val="0"/>
              <w:spacing w:before="0" w:after="283"/>
              <w:jc w:val="both"/>
              <w:rPr/>
            </w:pPr>
            <w:r>
              <w:rPr/>
              <w:t>Inventories</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257" w:name="xdx_400_eus-gaap--AccountsReceivableNet_"/>
            <w:bookmarkEnd w:id="257"/>
          </w:p>
        </w:tc>
      </w:tr>
      <w:tr>
        <w:trPr/>
        <w:tc>
          <w:tcPr>
            <w:tcW w:w="270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 </w:t>
            </w:r>
            <w:bookmarkStart w:id="258" w:name="xdx_405_eus-gaap--OperatingLeaseRightOfU"/>
            <w:bookmarkEnd w:id="258"/>
          </w:p>
        </w:tc>
      </w:tr>
      <w:tr>
        <w:trPr/>
        <w:tc>
          <w:tcPr>
            <w:tcW w:w="2705" w:type="dxa"/>
            <w:tcBorders/>
            <w:shd w:fill="FFFFFF" w:val="clear"/>
            <w:vAlign w:val="center"/>
          </w:tcPr>
          <w:p>
            <w:pPr>
              <w:pStyle w:val="TableContents"/>
              <w:bidi w:val="0"/>
              <w:spacing w:before="0" w:after="283"/>
              <w:jc w:val="both"/>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bookmarkStart w:id="259" w:name="xdx_401_eus-gaap--PropertyPlantAndEquipm"/>
            <w:bookmarkEnd w:id="259"/>
          </w:p>
        </w:tc>
      </w:tr>
      <w:tr>
        <w:trPr/>
        <w:tc>
          <w:tcPr>
            <w:tcW w:w="2705"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248</w:t>
            </w:r>
          </w:p>
        </w:tc>
        <w:tc>
          <w:tcPr>
            <w:tcW w:w="110" w:type="dxa"/>
            <w:tcBorders/>
            <w:shd w:fill="CCEEFF" w:val="clear"/>
            <w:vAlign w:val="center"/>
          </w:tcPr>
          <w:p>
            <w:pPr>
              <w:pStyle w:val="TableContents"/>
              <w:bidi w:val="0"/>
              <w:spacing w:before="0" w:after="283"/>
              <w:jc w:val="left"/>
              <w:rPr/>
            </w:pPr>
            <w:r>
              <w:rPr/>
              <w:t> </w:t>
            </w:r>
            <w:bookmarkStart w:id="260" w:name="xdx_40F_eus-gaap--OtherAssets_iI_pn3n3_m"/>
            <w:bookmarkEnd w:id="260"/>
          </w:p>
        </w:tc>
      </w:tr>
      <w:tr>
        <w:trPr/>
        <w:tc>
          <w:tcPr>
            <w:tcW w:w="2705"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bookmarkStart w:id="261" w:name="xdx_409_eus-gaap--Assets_iTI_pn3n3_mtAzI"/>
            <w:bookmarkEnd w:id="261"/>
          </w:p>
        </w:tc>
      </w:tr>
      <w:tr>
        <w:trPr/>
        <w:tc>
          <w:tcPr>
            <w:tcW w:w="2705" w:type="dxa"/>
            <w:tcBorders/>
            <w:shd w:fill="CCEEFF" w:val="clear"/>
            <w:vAlign w:val="center"/>
          </w:tcPr>
          <w:p>
            <w:pPr>
              <w:pStyle w:val="TableContents"/>
              <w:bidi w:val="0"/>
              <w:spacing w:before="0" w:after="283"/>
              <w:jc w:val="both"/>
              <w:rPr/>
            </w:pPr>
            <w:r>
              <w:rPr/>
              <w:t>Total assets sold</w:t>
            </w:r>
          </w:p>
        </w:tc>
        <w:tc>
          <w:tcPr>
            <w:tcW w:w="60" w:type="dxa"/>
            <w:tcBorders/>
            <w:shd w:fill="CCEEFF" w:val="cle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743</w:t>
            </w:r>
          </w:p>
        </w:tc>
        <w:tc>
          <w:tcPr>
            <w:tcW w:w="110" w:type="dxa"/>
            <w:tcBorders/>
            <w:shd w:fill="CCEEFF" w:val="clear"/>
            <w:vAlign w:val="center"/>
          </w:tcPr>
          <w:p>
            <w:pPr>
              <w:pStyle w:val="TableContents"/>
              <w:bidi w:val="0"/>
              <w:spacing w:before="0" w:after="283"/>
              <w:jc w:val="left"/>
              <w:rPr/>
            </w:pPr>
            <w:r>
              <w:rPr/>
              <w:t> </w:t>
            </w:r>
            <w:bookmarkStart w:id="262" w:name="xdx_407_eus-gaap--AccountsPayableCurrent"/>
            <w:bookmarkEnd w:id="262"/>
          </w:p>
        </w:tc>
      </w:tr>
      <w:tr>
        <w:trPr/>
        <w:tc>
          <w:tcPr>
            <w:tcW w:w="270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bookmarkStart w:id="263" w:name="xdx_409_eus-gaap--AccruedLiabilitiesCurr"/>
            <w:bookmarkEnd w:id="263"/>
          </w:p>
        </w:tc>
      </w:tr>
      <w:tr>
        <w:trPr/>
        <w:tc>
          <w:tcPr>
            <w:tcW w:w="270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w:t>
            </w:r>
            <w:bookmarkStart w:id="264" w:name="xdx_401_eus-gaap--OperatingLeaseLiabilit"/>
            <w:bookmarkEnd w:id="264"/>
          </w:p>
        </w:tc>
      </w:tr>
      <w:tr>
        <w:trPr/>
        <w:tc>
          <w:tcPr>
            <w:tcW w:w="2705" w:type="dxa"/>
            <w:tcBorders/>
            <w:shd w:fill="FFFFFF" w:val="clear"/>
            <w:vAlign w:val="center"/>
          </w:tcPr>
          <w:p>
            <w:pPr>
              <w:pStyle w:val="TableContents"/>
              <w:bidi w:val="0"/>
              <w:spacing w:before="0" w:after="283"/>
              <w:jc w:val="both"/>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(384</w:t>
            </w:r>
          </w:p>
        </w:tc>
        <w:tc>
          <w:tcPr>
            <w:tcW w:w="110" w:type="dxa"/>
            <w:tcBorders/>
            <w:shd w:fill="FFFFFF" w:val="clear"/>
            <w:vAlign w:val="center"/>
          </w:tcPr>
          <w:p>
            <w:pPr>
              <w:pStyle w:val="TableContents"/>
              <w:bidi w:val="0"/>
              <w:spacing w:before="0" w:after="283"/>
              <w:jc w:val="left"/>
              <w:rPr/>
            </w:pPr>
            <w:r>
              <w:rPr/>
              <w:t>)</w:t>
            </w:r>
            <w:bookmarkStart w:id="265" w:name="xdx_403_eus-gaap--OtherLiabilitiesCurren"/>
            <w:bookmarkEnd w:id="265"/>
          </w:p>
        </w:tc>
      </w:tr>
      <w:tr>
        <w:trPr/>
        <w:tc>
          <w:tcPr>
            <w:tcW w:w="2705" w:type="dxa"/>
            <w:tcBorders/>
            <w:shd w:fill="CCEEFF" w:val="clear"/>
            <w:vAlign w:val="center"/>
          </w:tcPr>
          <w:p>
            <w:pPr>
              <w:pStyle w:val="TableContents"/>
              <w:bidi w:val="0"/>
              <w:spacing w:before="0" w:after="283"/>
              <w:jc w:val="both"/>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w:t>
            </w:r>
            <w:bookmarkStart w:id="266" w:name="xdx_40F_eus-gaap--BusinessCombinationRec"/>
            <w:bookmarkEnd w:id="266"/>
          </w:p>
        </w:tc>
      </w:tr>
      <w:tr>
        <w:trPr/>
        <w:tc>
          <w:tcPr>
            <w:tcW w:w="2705" w:type="dxa"/>
            <w:tcBorders/>
            <w:shd w:fill="FFFFFF" w:val="clear"/>
            <w:vAlign w:val="center"/>
          </w:tcPr>
          <w:p>
            <w:pPr>
              <w:pStyle w:val="TableContents"/>
              <w:bidi w:val="0"/>
              <w:spacing w:before="0" w:after="283"/>
              <w:jc w:val="both"/>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(719</w:t>
            </w:r>
          </w:p>
        </w:tc>
        <w:tc>
          <w:tcPr>
            <w:tcW w:w="110" w:type="dxa"/>
            <w:tcBorders/>
            <w:shd w:fill="FFFFFF" w:val="clear"/>
            <w:vAlign w:val="center"/>
          </w:tcPr>
          <w:p>
            <w:pPr>
              <w:pStyle w:val="TableContents"/>
              <w:bidi w:val="0"/>
              <w:spacing w:before="0" w:after="283"/>
              <w:jc w:val="left"/>
              <w:rPr/>
            </w:pPr>
            <w:r>
              <w:rPr/>
              <w:t>)</w:t>
            </w:r>
            <w:bookmarkStart w:id="267" w:name="xdx_409_eus-gaap--AssetsNet_iTI_pn3n3_mt"/>
            <w:bookmarkEnd w:id="267"/>
          </w:p>
        </w:tc>
      </w:tr>
      <w:tr>
        <w:trPr/>
        <w:tc>
          <w:tcPr>
            <w:tcW w:w="2705" w:type="dxa"/>
            <w:tcBorders/>
            <w:shd w:fill="CCEEFF" w:val="clear"/>
            <w:vAlign w:val="center"/>
          </w:tcPr>
          <w:p>
            <w:pPr>
              <w:pStyle w:val="TableContents"/>
              <w:bidi w:val="0"/>
              <w:spacing w:before="0" w:after="283"/>
              <w:jc w:val="both"/>
              <w:rPr/>
            </w:pPr>
            <w:r>
              <w:rPr/>
              <w:t>Net assets sold</w:t>
            </w:r>
          </w:p>
        </w:tc>
        <w:tc>
          <w:tcPr>
            <w:tcW w:w="60" w:type="dxa"/>
            <w:tcBorders/>
            <w:shd w:fill="CCEEFF" w:val="clear"/>
            <w:vAlign w:val="center"/>
          </w:tcPr>
          <w:p>
            <w:pPr>
              <w:pStyle w:val="TableContents"/>
              <w:bidi w:val="0"/>
              <w:spacing w:before="0" w:after="283"/>
              <w:jc w:val="left"/>
              <w:rPr/>
            </w:pPr>
            <w:r>
              <w:rPr/>
              <w:t> </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68" w:name="xdx_8AC_zbPSFy6jvHva"/>
      <w:bookmarkEnd w:id="268"/>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was paid other than the assumption by Tethon of the above liabilities. No significant transaction costs were incurred. No earnout or other contingent consideration arrangements were included in the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69" w:name="xdx_808_eus-gaap--BusinessCombinationDis"/>
      <w:bookmarkEnd w:id="269"/>
      <w:r>
        <w:rPr>
          <w:rFonts w:ascii="Times New Roman;Times;Serif" w:hAnsi="Times New Roman;Times;Serif"/>
          <w:b/>
          <w:i w:val="false"/>
          <w:caps w:val="false"/>
          <w:smallCaps w:val="false"/>
          <w:sz w:val="20"/>
        </w:rPr>
        <w:t xml:space="preserve">3. </w:t>
      </w:r>
      <w:bookmarkStart w:id="270" w:name="xdx_823_zAOkWmV6uSg8"/>
      <w:bookmarkEnd w:id="270"/>
      <w:r>
        <w:rPr>
          <w:rFonts w:ascii="Times New Roman;Times;Serif" w:hAnsi="Times New Roman;Times;Serif"/>
          <w:b/>
          <w:i w:val="false"/>
          <w:caps w:val="false"/>
          <w:smallCaps w:val="false"/>
          <w:sz w:val="20"/>
        </w:rPr>
        <w:t>Business Combinations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2025, the Company entered into an Asset Purchase Agreement with Sinaptic Surgical, LLC (“Sinaptic Surgical”) and Sinaptic Holdings, LLC (“Holdings”), pursuant to which the Company agreed to purchase substantially all the assets and assume certain liabilities of Sinaptic Surgical. As consideration for the purchase of the assets under the Asset Purchase Agreement, the Company issued common stock warrants to purchase </w:t>
      </w:r>
      <w:bookmarkStart w:id="271" w:name="xdx_900_eus-gaap--BusinessAcquisitionEqu"/>
      <w:bookmarkEnd w:id="271"/>
      <w:r>
        <w:rPr>
          <w:rFonts w:ascii="Times New Roman;Times;Serif" w:hAnsi="Times New Roman;Times;Serif"/>
          <w:b w:val="false"/>
          <w:i w:val="false"/>
          <w:caps w:val="false"/>
          <w:smallCaps w:val="false"/>
          <w:sz w:val="20"/>
        </w:rPr>
        <w:t>325,000 shares of the Company’s common stock (the “Warrants”). The Warrants expire five years from the date of issue and have an exercise price of $</w:t>
      </w:r>
      <w:bookmarkStart w:id="272" w:name="xdx_903_eus-gaap--CommonStockParOrStated"/>
      <w:bookmarkEnd w:id="272"/>
      <w:r>
        <w:rPr>
          <w:rFonts w:ascii="Times New Roman;Times;Serif" w:hAnsi="Times New Roman;Times;Serif"/>
          <w:b w:val="false"/>
          <w:i w:val="false"/>
          <w:caps w:val="false"/>
          <w:smallCaps w:val="false"/>
          <w:sz w:val="20"/>
        </w:rPr>
        <w:t xml:space="preserve">6.30 per share. The Warrants will become exercisable upon the achievement of certain milestones prior to the expiration of the Warrants. In connection with the Asset Purchase Agreement, Sinaptic Surgical purchased </w:t>
      </w:r>
      <w:bookmarkStart w:id="273" w:name="xdx_907_eus-gaap--BusinessAcquisitionEqu"/>
      <w:bookmarkEnd w:id="273"/>
      <w:r>
        <w:rPr>
          <w:rFonts w:ascii="Times New Roman;Times;Serif" w:hAnsi="Times New Roman;Times;Serif"/>
          <w:b w:val="false"/>
          <w:i w:val="false"/>
          <w:caps w:val="false"/>
          <w:smallCaps w:val="false"/>
          <w:sz w:val="20"/>
        </w:rPr>
        <w:t>216,450 shares of the Company’s common stock at a purchase price of $</w:t>
      </w:r>
      <w:bookmarkStart w:id="274" w:name="xdx_908_eus-gaap--CommonStockParOrStated"/>
      <w:bookmarkEnd w:id="274"/>
      <w:r>
        <w:rPr>
          <w:rFonts w:ascii="Times New Roman;Times;Serif" w:hAnsi="Times New Roman;Times;Serif"/>
          <w:b w:val="false"/>
          <w:i w:val="false"/>
          <w:caps w:val="false"/>
          <w:smallCaps w:val="false"/>
          <w:sz w:val="20"/>
        </w:rPr>
        <w:t>3.465 per share in a private placement.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the acquired intangible asset was estimated utilizing the income approach, which involves the use of significant estimates and assumptions including projected revenue growth rates, projected earnings, and discount rates.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75" w:name="xdx_897_eus-gaap--ScheduleOfRecognizedId"/>
      <w:bookmarkEnd w:id="275"/>
      <w:r>
        <w:rPr>
          <w:rFonts w:ascii="Times New Roman;Times;Serif" w:hAnsi="Times New Roman;Times;Serif"/>
          <w:b w:val="false"/>
          <w:i w:val="false"/>
          <w:caps w:val="false"/>
          <w:smallCaps w:val="false"/>
          <w:sz w:val="20"/>
        </w:rPr>
        <w:t>The following table summarizes the consideration transferred, the estimated fair value of the assets acquired, and liabilities assumed, at the acquisition date (in thousands):</w:t>
      </w:r>
    </w:p>
    <w:p>
      <w:pPr>
        <w:pStyle w:val="TextBody"/>
        <w:pBdr/>
        <w:bidi w:val="0"/>
        <w:spacing w:before="0" w:after="0"/>
        <w:ind w:left="0" w:right="0" w:hanging="0"/>
        <w:jc w:val="both"/>
        <w:rPr>
          <w:caps w:val="false"/>
          <w:smallCaps w:val="false"/>
        </w:rPr>
      </w:pPr>
      <w:r>
        <w:rPr>
          <w:caps w:val="false"/>
          <w:smallCaps w:val="false"/>
        </w:rPr>
        <w:t> </w:t>
      </w:r>
      <w:bookmarkStart w:id="276" w:name="xdx_8B4_ztDa4O3KSRPj"/>
      <w:bookmarkEnd w:id="276"/>
      <w:r>
        <w:rPr>
          <w:rFonts w:ascii="Times New Roman;Times;Serif" w:hAnsi="Times New Roman;Times;Serif"/>
          <w:b w:val="false"/>
          <w:i w:val="false"/>
          <w:caps w:val="false"/>
          <w:smallCaps w:val="false"/>
          <w:sz w:val="20"/>
        </w:rPr>
        <w:t>Schedule of Recognized Identified Assets Acquired and Liabilities Assumed</w:t>
      </w:r>
    </w:p>
    <w:tbl>
      <w:tblPr>
        <w:tblW w:w="9645" w:type="dxa"/>
        <w:jc w:val="left"/>
        <w:tblInd w:w="0" w:type="dxa"/>
        <w:tblLayout w:type="fixed"/>
        <w:tblCellMar>
          <w:top w:w="0" w:type="dxa"/>
          <w:left w:w="0" w:type="dxa"/>
          <w:bottom w:w="0" w:type="dxa"/>
          <w:right w:w="0" w:type="dxa"/>
        </w:tblCellMar>
      </w:tblPr>
      <w:tblGrid>
        <w:gridCol w:w="7490"/>
        <w:gridCol w:w="60"/>
        <w:gridCol w:w="397"/>
        <w:gridCol w:w="1588"/>
        <w:gridCol w:w="110"/>
      </w:tblGrid>
      <w:tr>
        <w:trPr/>
        <w:tc>
          <w:tcPr>
            <w:tcW w:w="7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77" w:name="xdx_49B_20260101__20260331_zfPyfgEdmP4c"/>
            <w:bookmarkEnd w:id="277"/>
          </w:p>
        </w:tc>
        <w:tc>
          <w:tcPr>
            <w:tcW w:w="1985" w:type="dxa"/>
            <w:gridSpan w:val="2"/>
            <w:tcBorders>
              <w:bottom w:val="single" w:sz="8" w:space="0" w:color="000000"/>
            </w:tcBorders>
            <w:tcMar>
              <w:bottom w:w="28" w:type="dxa"/>
            </w:tcMar>
            <w:vAlign w:val="center"/>
          </w:tcPr>
          <w:p>
            <w:pPr>
              <w:pStyle w:val="TableContents"/>
              <w:bidi w:val="0"/>
              <w:jc w:val="center"/>
              <w:rPr>
                <w:b/>
              </w:rPr>
            </w:pPr>
            <w:r>
              <w:rPr>
                <w:b/>
              </w:rPr>
              <w:t>Amounts</w:t>
            </w:r>
          </w:p>
          <w:p>
            <w:pPr>
              <w:pStyle w:val="TableContents"/>
              <w:bidi w:val="0"/>
              <w:jc w:val="center"/>
              <w:rPr>
                <w:b/>
              </w:rPr>
            </w:pPr>
            <w:r>
              <w:rPr>
                <w:b/>
              </w:rPr>
              <w:t>recognized as of</w:t>
            </w:r>
          </w:p>
          <w:p>
            <w:pPr>
              <w:pStyle w:val="TableContents"/>
              <w:bidi w:val="0"/>
              <w:spacing w:before="0" w:after="283"/>
              <w:jc w:val="center"/>
              <w:rPr>
                <w:b/>
              </w:rPr>
            </w:pPr>
            <w:r>
              <w:rPr>
                <w:b/>
              </w:rPr>
              <w:t>the acquisition date</w:t>
            </w:r>
          </w:p>
        </w:tc>
        <w:tc>
          <w:tcPr>
            <w:tcW w:w="110"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8" w:name="xdx_409_eus-gaap--BusinessCombinationCon"/>
            <w:bookmarkEnd w:id="278"/>
          </w:p>
        </w:tc>
      </w:tr>
      <w:tr>
        <w:trPr/>
        <w:tc>
          <w:tcPr>
            <w:tcW w:w="7490" w:type="dxa"/>
            <w:tcBorders/>
            <w:shd w:fill="FFFFFF" w:val="clear"/>
            <w:vAlign w:val="center"/>
          </w:tcPr>
          <w:p>
            <w:pPr>
              <w:pStyle w:val="TableContents"/>
              <w:bidi w:val="0"/>
              <w:spacing w:before="0" w:after="283"/>
              <w:jc w:val="both"/>
              <w:rPr/>
            </w:pPr>
            <w:r>
              <w:rPr/>
              <w:t>Common stock private placement</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w:t>
            </w:r>
          </w:p>
        </w:tc>
        <w:tc>
          <w:tcPr>
            <w:tcW w:w="1588" w:type="dxa"/>
            <w:tcBorders/>
            <w:shd w:fill="FFFFFF" w:val="clear"/>
            <w:vAlign w:val="center"/>
          </w:tcPr>
          <w:p>
            <w:pPr>
              <w:pStyle w:val="TableContents"/>
              <w:bidi w:val="0"/>
              <w:spacing w:before="0" w:after="283"/>
              <w:jc w:val="right"/>
              <w:rPr/>
            </w:pPr>
            <w:r>
              <w:rPr/>
              <w:t>682</w:t>
            </w:r>
          </w:p>
        </w:tc>
        <w:tc>
          <w:tcPr>
            <w:tcW w:w="110" w:type="dxa"/>
            <w:tcBorders/>
            <w:shd w:fill="FFFFFF" w:val="clear"/>
            <w:vAlign w:val="center"/>
          </w:tcPr>
          <w:p>
            <w:pPr>
              <w:pStyle w:val="TableContents"/>
              <w:bidi w:val="0"/>
              <w:spacing w:before="0" w:after="283"/>
              <w:jc w:val="left"/>
              <w:rPr/>
            </w:pPr>
            <w:r>
              <w:rPr/>
              <w:t> </w:t>
            </w:r>
            <w:bookmarkStart w:id="279" w:name="xdx_40C_eus-gaap--BusinessCombinationCon"/>
            <w:bookmarkEnd w:id="279"/>
          </w:p>
        </w:tc>
      </w:tr>
      <w:tr>
        <w:trPr/>
        <w:tc>
          <w:tcPr>
            <w:tcW w:w="7490" w:type="dxa"/>
            <w:tcBorders/>
            <w:shd w:fill="CCEEFF" w:val="clear"/>
            <w:vAlign w:val="center"/>
          </w:tcPr>
          <w:p>
            <w:pPr>
              <w:pStyle w:val="TableContents"/>
              <w:bidi w:val="0"/>
              <w:spacing w:before="0" w:after="283"/>
              <w:jc w:val="both"/>
              <w:rPr/>
            </w:pPr>
            <w:r>
              <w:rPr/>
              <w:t>Warrants (included in derivative liabilities)</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110" w:type="dxa"/>
            <w:tcBorders/>
            <w:shd w:fill="CCEEFF" w:val="clear"/>
            <w:vAlign w:val="center"/>
          </w:tcPr>
          <w:p>
            <w:pPr>
              <w:pStyle w:val="TableContents"/>
              <w:bidi w:val="0"/>
              <w:spacing w:before="0" w:after="283"/>
              <w:jc w:val="left"/>
              <w:rPr/>
            </w:pPr>
            <w:r>
              <w:rPr/>
              <w:t> </w:t>
            </w:r>
            <w:bookmarkStart w:id="280" w:name="xdx_40F_eus-gaap--BusinessCombinationCon"/>
            <w:bookmarkEnd w:id="280"/>
          </w:p>
        </w:tc>
      </w:tr>
      <w:tr>
        <w:trPr/>
        <w:tc>
          <w:tcPr>
            <w:tcW w:w="7490" w:type="dxa"/>
            <w:tcBorders/>
            <w:shd w:fill="FFFFFF" w:val="clear"/>
            <w:vAlign w:val="center"/>
          </w:tcPr>
          <w:p>
            <w:pPr>
              <w:pStyle w:val="TableContents"/>
              <w:bidi w:val="0"/>
              <w:spacing w:before="0" w:after="283"/>
              <w:jc w:val="both"/>
              <w:rPr/>
            </w:pPr>
            <w:r>
              <w:rPr/>
              <w:t>Total consideration transferred</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pPr>
            <w:r>
              <w:rPr/>
              <w:t>1,177</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Recognized amounts of identifiable assets acquired and liabilities assumed</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bookmarkStart w:id="281" w:name="xdx_98C_eus-gaap--BusinessCombinationRec"/>
            <w:bookmarkEnd w:id="281"/>
          </w:p>
        </w:tc>
        <w:tc>
          <w:tcPr>
            <w:tcW w:w="1588" w:type="dxa"/>
            <w:tcBorders/>
            <w:shd w:fill="CCEEFF" w:val="clear"/>
            <w:vAlign w:val="center"/>
          </w:tcPr>
          <w:p>
            <w:pPr>
              <w:pStyle w:val="TableContents"/>
              <w:bidi w:val="0"/>
              <w:spacing w:before="0" w:after="283"/>
              <w:jc w:val="right"/>
              <w:rPr/>
            </w:pPr>
            <w:r>
              <w:rPr/>
              <w:t>750</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Intangibles</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2" w:name="xdx_98E_eus-gaap--BusinessCombinationRec"/>
            <w:bookmarkEnd w:id="282"/>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pPr>
            <w:r>
              <w:rPr/>
              <w:t>145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Total assets acquired</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bookmarkStart w:id="283" w:name="xdx_98D_eus-gaap--BusinessCombinationRec"/>
            <w:bookmarkEnd w:id="283"/>
          </w:p>
        </w:tc>
        <w:tc>
          <w:tcPr>
            <w:tcW w:w="1588" w:type="dxa"/>
            <w:tcBorders/>
            <w:shd w:fill="CCEEFF" w:val="clear"/>
            <w:vAlign w:val="center"/>
          </w:tcPr>
          <w:p>
            <w:pPr>
              <w:pStyle w:val="TableContents"/>
              <w:bidi w:val="0"/>
              <w:spacing w:before="0" w:after="283"/>
              <w:jc w:val="right"/>
              <w:rPr/>
            </w:pPr>
            <w:r>
              <w:rPr/>
              <w:t>895</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Accounts payable and other accrued expenses</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4" w:name="xdx_981_eus-gaap--BusinessCombinationRec"/>
            <w:bookmarkEnd w:id="284"/>
          </w:p>
        </w:tc>
        <w:tc>
          <w:tcPr>
            <w:tcW w:w="1588"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both"/>
              <w:rPr>
                <w:b/>
              </w:rPr>
            </w:pPr>
            <w:r>
              <w:rPr>
                <w:b/>
              </w:rPr>
              <w:t>Total identifiable net assets</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85" w:name="xdx_980_eus-gaap--BusinessCombinationRec"/>
            <w:bookmarkEnd w:id="285"/>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pPr>
            <w:r>
              <w:rPr/>
              <w:t>875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Goodwill</w:t>
            </w:r>
          </w:p>
        </w:tc>
        <w:tc>
          <w:tcPr>
            <w:tcW w:w="60" w:type="dxa"/>
            <w:tcBorders/>
            <w:shd w:fill="CCEEFF" w:val="clear"/>
            <w:vAlign w:val="center"/>
          </w:tcPr>
          <w:p>
            <w:pPr>
              <w:pStyle w:val="TableContents"/>
              <w:bidi w:val="0"/>
              <w:spacing w:before="0" w:after="283"/>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6" w:name="xdx_987_eus-gaap--Goodwill_iI_pn3n3_c202"/>
            <w:bookmarkEnd w:id="286"/>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pPr>
            <w:r>
              <w:rPr/>
              <w:t>302</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87" w:name="xdx_8A3_zDjix86U5SBe"/>
      <w:bookmarkEnd w:id="287"/>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goodwill of $</w:t>
      </w:r>
      <w:bookmarkStart w:id="288" w:name="xdx_90E_eus-gaap--Goodwill_iI_c20260331_"/>
      <w:bookmarkEnd w:id="288"/>
      <w:r>
        <w:rPr>
          <w:rFonts w:ascii="Times New Roman;Times;Serif" w:hAnsi="Times New Roman;Times;Serif"/>
          <w:b w:val="false"/>
          <w:i w:val="false"/>
          <w:caps w:val="false"/>
          <w:smallCaps w:val="false"/>
          <w:sz w:val="20"/>
        </w:rPr>
        <w:t>302,000, which reflects the future benefits of certain synergies, and regulatory and commercialization strategies. Acquired intangible assets are being amortized over the estimated useful life of five years on a straight-line basis.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89" w:name="xdx_804_eus-gaap--EarningsPerShareTextBl"/>
      <w:bookmarkEnd w:id="289"/>
      <w:r>
        <w:rPr>
          <w:rFonts w:ascii="Times New Roman;Times;Serif" w:hAnsi="Times New Roman;Times;Serif"/>
          <w:b/>
          <w:i w:val="false"/>
          <w:caps w:val="false"/>
          <w:smallCaps w:val="false"/>
          <w:sz w:val="20"/>
        </w:rPr>
        <w:t xml:space="preserve">4. </w:t>
      </w:r>
      <w:bookmarkStart w:id="290" w:name="xdx_828_zsCvSLkz0l49"/>
      <w:bookmarkEnd w:id="290"/>
      <w:r>
        <w:rPr>
          <w:rFonts w:ascii="Times New Roman;Times;Serif" w:hAnsi="Times New Roman;Times;Serif"/>
          <w:b/>
          <w:i w:val="false"/>
          <w:caps w:val="false"/>
          <w:smallCaps w:val="false"/>
          <w:sz w:val="20"/>
        </w:rPr>
        <w:t>Basic and Diluted Net Income (Loss) per Common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(loss) per share is calculated by dividing the net income (loss) by the weighted-average number of common shares outstanding for the period, without consideration for common stock equivalents. Diluted net loss per share is calculated by dividing the net loss by the weighted-average number of common share equivalents outstanding for the period that are determined to be dilutive. Common stock equivalents are primarily comprised of preferred stock and warrants for the purchase of common stock. The Company had potentially dilutive securities of approximately </w:t>
      </w:r>
      <w:bookmarkStart w:id="291" w:name="xdx_90F_eus-gaap--IncrementalCommonShare"/>
      <w:bookmarkEnd w:id="291"/>
      <w:r>
        <w:rPr>
          <w:rFonts w:ascii="Times New Roman;Times;Serif" w:hAnsi="Times New Roman;Times;Serif"/>
          <w:b w:val="false"/>
          <w:i w:val="false"/>
          <w:caps w:val="false"/>
          <w:smallCaps w:val="false"/>
          <w:sz w:val="20"/>
        </w:rPr>
        <w:t xml:space="preserve">2.8 million and </w:t>
      </w:r>
      <w:bookmarkStart w:id="292" w:name="xdx_90D_eus-gaap--IncrementalCommonShare"/>
      <w:bookmarkEnd w:id="292"/>
      <w:r>
        <w:rPr>
          <w:rFonts w:ascii="Times New Roman;Times;Serif" w:hAnsi="Times New Roman;Times;Serif"/>
          <w:b w:val="false"/>
          <w:i w:val="false"/>
          <w:caps w:val="false"/>
          <w:smallCaps w:val="false"/>
          <w:sz w:val="20"/>
        </w:rPr>
        <w:t>2.1 million as of March 31, 2026, and 2025, respectively, that were not included in the fully diluted loss per share calculation because they would have been antidilutive.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93" w:name="xdx_89F_eus-gaap--ScheduleOfEarningsPerS"/>
      <w:bookmarkEnd w:id="293"/>
      <w:r>
        <w:rPr>
          <w:rFonts w:ascii="Times New Roman;Times;Serif" w:hAnsi="Times New Roman;Times;Serif"/>
          <w:b w:val="false"/>
          <w:i w:val="false"/>
          <w:caps w:val="false"/>
          <w:smallCaps w:val="false"/>
          <w:sz w:val="20"/>
        </w:rPr>
        <w:t>Below are basic and diluted loss per share data for the three months ended March 31, 2026, which are in thousands, except for share and per share data:</w:t>
      </w:r>
    </w:p>
    <w:p>
      <w:pPr>
        <w:pStyle w:val="TextBody"/>
        <w:pBdr/>
        <w:bidi w:val="0"/>
        <w:spacing w:before="0" w:after="0"/>
        <w:ind w:left="0" w:right="0" w:hanging="0"/>
        <w:jc w:val="both"/>
        <w:rPr>
          <w:caps w:val="false"/>
          <w:smallCaps w:val="false"/>
        </w:rPr>
      </w:pPr>
      <w:r>
        <w:rPr>
          <w:caps w:val="false"/>
          <w:smallCaps w:val="false"/>
        </w:rPr>
        <w:t> </w:t>
      </w:r>
      <w:bookmarkStart w:id="294" w:name="xdx_8BA_zfpc2swnFRS9"/>
      <w:bookmarkEnd w:id="294"/>
      <w:r>
        <w:rPr>
          <w:rFonts w:ascii="Times New Roman;Times;Serif" w:hAnsi="Times New Roman;Times;Serif"/>
          <w:b w:val="false"/>
          <w:i w:val="false"/>
          <w:caps w:val="false"/>
          <w:smallCaps w:val="false"/>
          <w:sz w:val="20"/>
        </w:rPr>
        <w:t>Schedule of Basic and Diluted Loss Per Share</w:t>
      </w:r>
    </w:p>
    <w:tbl>
      <w:tblPr>
        <w:tblW w:w="9150"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503"/>
        <w:gridCol w:w="342"/>
        <w:gridCol w:w="60"/>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b/>
              </w:rPr>
            </w:pPr>
            <w:r>
              <w:rPr>
                <w:b/>
              </w:rPr>
              <w:t>Basic</w:t>
            </w:r>
          </w:p>
          <w:p>
            <w:pPr>
              <w:pStyle w:val="TableContents"/>
              <w:bidi w:val="0"/>
              <w:spacing w:before="0" w:after="283"/>
              <w:jc w:val="center"/>
              <w:rPr>
                <w:b/>
              </w:rPr>
            </w:pPr>
            <w:r>
              <w:rPr>
                <w:b/>
              </w:rP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b/>
              </w:rPr>
            </w:pPr>
            <w:r>
              <w:rPr>
                <w:b/>
              </w:rPr>
              <w:t>Diluted</w:t>
            </w:r>
          </w:p>
          <w:p>
            <w:pPr>
              <w:pStyle w:val="TableContents"/>
              <w:bidi w:val="0"/>
              <w:spacing w:before="0" w:after="283"/>
              <w:jc w:val="center"/>
              <w:rPr>
                <w:b/>
              </w:rPr>
            </w:pPr>
            <w:r>
              <w:rPr>
                <w:b/>
              </w:rP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295" w:name="xdx_987_ecustom--NetLossBasicCalculation"/>
            <w:bookmarkEnd w:id="295"/>
          </w:p>
        </w:tc>
        <w:tc>
          <w:tcPr>
            <w:tcW w:w="1042" w:type="dxa"/>
            <w:tcBorders/>
            <w:shd w:fill="FFFFFF" w:val="clear"/>
            <w:vAlign w:val="center"/>
          </w:tcPr>
          <w:p>
            <w:pPr>
              <w:pStyle w:val="TableContents"/>
              <w:bidi w:val="0"/>
              <w:spacing w:before="0" w:after="283"/>
              <w:jc w:val="right"/>
              <w:rPr/>
            </w:pPr>
            <w:r>
              <w:rPr/>
              <w:t>(2,821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w:t>
            </w:r>
            <w:bookmarkStart w:id="296" w:name="xdx_98E_ecustom--NetLossEffectOfDilutive"/>
            <w:bookmarkEnd w:id="296"/>
          </w:p>
        </w:tc>
        <w:tc>
          <w:tcPr>
            <w:tcW w:w="3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297" w:name="xdx_981_ecustom--NetLossDilutedCalculati"/>
            <w:bookmarkEnd w:id="297"/>
          </w:p>
        </w:tc>
        <w:tc>
          <w:tcPr>
            <w:tcW w:w="1042" w:type="dxa"/>
            <w:tcBorders/>
            <w:shd w:fill="FFFFFF" w:val="clear"/>
            <w:vAlign w:val="center"/>
          </w:tcPr>
          <w:p>
            <w:pPr>
              <w:pStyle w:val="TableContents"/>
              <w:bidi w:val="0"/>
              <w:spacing w:before="0" w:after="283"/>
              <w:jc w:val="right"/>
              <w:rPr/>
            </w:pPr>
            <w:r>
              <w:rPr/>
              <w:t>(2,821</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298" w:name="xdx_980_eus-gaap--WeightedAverageNumberO"/>
            <w:bookmarkEnd w:id="298"/>
          </w:p>
        </w:tc>
        <w:tc>
          <w:tcPr>
            <w:tcW w:w="1042" w:type="dxa"/>
            <w:tcBorders/>
            <w:shd w:fill="CCEEFF" w:val="clear"/>
            <w:vAlign w:val="center"/>
          </w:tcPr>
          <w:p>
            <w:pPr>
              <w:pStyle w:val="TableContents"/>
              <w:bidi w:val="0"/>
              <w:spacing w:before="0" w:after="283"/>
              <w:jc w:val="right"/>
              <w:rPr/>
            </w:pPr>
            <w:r>
              <w:rPr/>
              <w:t>4,014,028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bookmarkStart w:id="299" w:name="xdx_98D_eus-gaap--WeightedAverageNumberD"/>
            <w:bookmarkEnd w:id="299"/>
          </w:p>
        </w:tc>
        <w:tc>
          <w:tcPr>
            <w:tcW w:w="3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00" w:name="xdx_98B_eus-gaap--WeightedAverageNumberO"/>
            <w:bookmarkEnd w:id="300"/>
          </w:p>
        </w:tc>
        <w:tc>
          <w:tcPr>
            <w:tcW w:w="1042" w:type="dxa"/>
            <w:tcBorders/>
            <w:shd w:fill="CCEEFF" w:val="clear"/>
            <w:vAlign w:val="center"/>
          </w:tcPr>
          <w:p>
            <w:pPr>
              <w:pStyle w:val="TableContents"/>
              <w:bidi w:val="0"/>
              <w:spacing w:before="0" w:after="283"/>
              <w:jc w:val="right"/>
              <w:rPr/>
            </w:pPr>
            <w:r>
              <w:rPr/>
              <w:t>4,014,028</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01" w:name="xdx_98D_eus-gaap--EarningsPerShareBasic_"/>
            <w:bookmarkEnd w:id="301"/>
          </w:p>
        </w:tc>
        <w:tc>
          <w:tcPr>
            <w:tcW w:w="1042" w:type="dxa"/>
            <w:tcBorders/>
            <w:shd w:fill="FFFFFF" w:val="clear"/>
            <w:vAlign w:val="center"/>
          </w:tcPr>
          <w:p>
            <w:pPr>
              <w:pStyle w:val="TableContents"/>
              <w:bidi w:val="0"/>
              <w:spacing w:before="0" w:after="283"/>
              <w:jc w:val="right"/>
              <w:rPr/>
            </w:pPr>
            <w:r>
              <w:rPr/>
              <w:t>(0.70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w:t>
            </w:r>
            <w:bookmarkStart w:id="302" w:name="xdx_984_ecustom--NetIncomeEffectOfDiluti"/>
            <w:bookmarkEnd w:id="302"/>
          </w:p>
        </w:tc>
        <w:tc>
          <w:tcPr>
            <w:tcW w:w="3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03" w:name="xdx_98C_eus-gaap--EarningsPerShareDilute"/>
            <w:bookmarkEnd w:id="303"/>
          </w:p>
        </w:tc>
        <w:tc>
          <w:tcPr>
            <w:tcW w:w="1042" w:type="dxa"/>
            <w:tcBorders/>
            <w:shd w:fill="FFFFFF" w:val="clear"/>
            <w:vAlign w:val="center"/>
          </w:tcPr>
          <w:p>
            <w:pPr>
              <w:pStyle w:val="TableContents"/>
              <w:bidi w:val="0"/>
              <w:spacing w:before="0" w:after="283"/>
              <w:jc w:val="right"/>
              <w:rPr/>
            </w:pPr>
            <w:r>
              <w:rPr/>
              <w:t>(0.70</w:t>
            </w:r>
          </w:p>
        </w:tc>
        <w:tc>
          <w:tcPr>
            <w:tcW w:w="110" w:type="dxa"/>
            <w:tcBorders/>
            <w:shd w:fill="FFFFFF" w:val="clear"/>
            <w:vAlign w:val="center"/>
          </w:tcPr>
          <w:p>
            <w:pPr>
              <w:pStyle w:val="TableContents"/>
              <w:bidi w:val="0"/>
              <w:spacing w:before="0" w:after="283"/>
              <w:jc w:val="left"/>
              <w:rPr/>
            </w:pPr>
            <w:r>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three months ended March 31, 2025, which are in thousands, except for share and per share data:</w:t>
      </w:r>
    </w:p>
    <w:p>
      <w:pPr>
        <w:pStyle w:val="TextBody"/>
        <w:pBdr/>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169"/>
        <w:gridCol w:w="676"/>
        <w:gridCol w:w="95"/>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b/>
              </w:rPr>
            </w:pPr>
            <w:r>
              <w:rPr>
                <w:b/>
              </w:rPr>
              <w:t>Basic</w:t>
            </w:r>
          </w:p>
          <w:p>
            <w:pPr>
              <w:pStyle w:val="TableContents"/>
              <w:bidi w:val="0"/>
              <w:spacing w:before="0" w:after="283"/>
              <w:jc w:val="center"/>
              <w:rPr>
                <w:b/>
              </w:rPr>
            </w:pPr>
            <w:r>
              <w:rPr>
                <w:b/>
              </w:rP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b/>
              </w:rPr>
            </w:pPr>
            <w:r>
              <w:rPr>
                <w:b/>
              </w:rPr>
              <w:t>Diluted</w:t>
            </w:r>
          </w:p>
          <w:p>
            <w:pPr>
              <w:pStyle w:val="TableContents"/>
              <w:bidi w:val="0"/>
              <w:spacing w:before="0" w:after="283"/>
              <w:jc w:val="center"/>
              <w:rPr>
                <w:b/>
              </w:rPr>
            </w:pPr>
            <w:r>
              <w:rPr>
                <w:b/>
              </w:rP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04" w:name="xdx_98C_ecustom--NetLossBasicCalculation"/>
            <w:bookmarkEnd w:id="304"/>
          </w:p>
        </w:tc>
        <w:tc>
          <w:tcPr>
            <w:tcW w:w="1042" w:type="dxa"/>
            <w:tcBorders/>
            <w:shd w:fill="FFFFFF" w:val="cle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bookmarkStart w:id="305" w:name="xdx_98A_ecustom--NetLossEffectOfDilutive"/>
            <w:bookmarkEnd w:id="305"/>
          </w:p>
        </w:tc>
        <w:tc>
          <w:tcPr>
            <w:tcW w:w="676"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06" w:name="xdx_981_ecustom--NetLossDilutedCalculati"/>
            <w:bookmarkEnd w:id="306"/>
          </w:p>
        </w:tc>
        <w:tc>
          <w:tcPr>
            <w:tcW w:w="1042" w:type="dxa"/>
            <w:tcBorders/>
            <w:shd w:fill="FFFFFF" w:val="clear"/>
            <w:vAlign w:val="center"/>
          </w:tcPr>
          <w:p>
            <w:pPr>
              <w:pStyle w:val="TableContents"/>
              <w:bidi w:val="0"/>
              <w:spacing w:before="0" w:after="283"/>
              <w:jc w:val="right"/>
              <w:rPr/>
            </w:pPr>
            <w:r>
              <w:rPr/>
              <w:t>(2,296</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07" w:name="xdx_989_eus-gaap--WeightedAverageNumberO"/>
            <w:bookmarkEnd w:id="307"/>
          </w:p>
        </w:tc>
        <w:tc>
          <w:tcPr>
            <w:tcW w:w="1042" w:type="dxa"/>
            <w:tcBorders/>
            <w:shd w:fill="CCEEFF" w:val="clear"/>
            <w:vAlign w:val="center"/>
          </w:tcPr>
          <w:p>
            <w:pPr>
              <w:pStyle w:val="TableContents"/>
              <w:bidi w:val="0"/>
              <w:spacing w:before="0" w:after="283"/>
              <w:jc w:val="right"/>
              <w:rPr/>
            </w:pPr>
            <w:r>
              <w:rPr/>
              <w:t>1,772,732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308" w:name="xdx_98E_eus-gaap--WeightedAverageNumberD"/>
            <w:bookmarkEnd w:id="308"/>
          </w:p>
        </w:tc>
        <w:tc>
          <w:tcPr>
            <w:tcW w:w="676" w:type="dxa"/>
            <w:tcBorders/>
            <w:shd w:fill="CCEEFF" w:val="clear"/>
            <w:vAlign w:val="center"/>
          </w:tcPr>
          <w:p>
            <w:pPr>
              <w:pStyle w:val="TableContents"/>
              <w:bidi w:val="0"/>
              <w:spacing w:before="0" w:after="283"/>
              <w:jc w:val="right"/>
              <w:rPr/>
            </w:pPr>
            <w:r>
              <w:rPr/>
              <w:t>1,611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09" w:name="xdx_986_eus-gaap--WeightedAverageNumberO"/>
            <w:bookmarkEnd w:id="309"/>
          </w:p>
        </w:tc>
        <w:tc>
          <w:tcPr>
            <w:tcW w:w="1042" w:type="dxa"/>
            <w:tcBorders/>
            <w:shd w:fill="CCEEFF" w:val="clear"/>
            <w:vAlign w:val="center"/>
          </w:tcPr>
          <w:p>
            <w:pPr>
              <w:pStyle w:val="TableContents"/>
              <w:bidi w:val="0"/>
              <w:spacing w:before="0" w:after="283"/>
              <w:jc w:val="right"/>
              <w:rPr/>
            </w:pPr>
            <w:r>
              <w:rPr/>
              <w:t>1,774,343</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10" w:name="xdx_983_eus-gaap--EarningsPerShareBasic_"/>
            <w:bookmarkEnd w:id="310"/>
          </w:p>
        </w:tc>
        <w:tc>
          <w:tcPr>
            <w:tcW w:w="1042"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bookmarkStart w:id="311" w:name="xdx_983_ecustom--NetIncomeEffectOfDiluti"/>
            <w:bookmarkEnd w:id="311"/>
          </w:p>
        </w:tc>
        <w:tc>
          <w:tcPr>
            <w:tcW w:w="676"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12" w:name="xdx_98D_eus-gaap--EarningsPerShareDilute"/>
            <w:bookmarkEnd w:id="312"/>
          </w:p>
        </w:tc>
        <w:tc>
          <w:tcPr>
            <w:tcW w:w="1042" w:type="dxa"/>
            <w:tcBorders/>
            <w:shd w:fill="FFFFFF" w:val="clear"/>
            <w:vAlign w:val="center"/>
          </w:tcPr>
          <w:p>
            <w:pPr>
              <w:pStyle w:val="TableContents"/>
              <w:bidi w:val="0"/>
              <w:spacing w:before="0" w:after="283"/>
              <w:jc w:val="right"/>
              <w:rPr/>
            </w:pPr>
            <w:r>
              <w:rPr/>
              <w:t>(1.29</w:t>
            </w:r>
          </w:p>
        </w:tc>
        <w:tc>
          <w:tcPr>
            <w:tcW w:w="110" w:type="dxa"/>
            <w:tcBorders/>
            <w:shd w:fill="FFFFFF" w:val="clear"/>
            <w:vAlign w:val="center"/>
          </w:tcPr>
          <w:p>
            <w:pPr>
              <w:pStyle w:val="TableContents"/>
              <w:bidi w:val="0"/>
              <w:spacing w:before="0" w:after="283"/>
              <w:jc w:val="left"/>
              <w:rPr/>
            </w:pPr>
            <w:r>
              <w:rPr/>
              <w:t>)</w:t>
            </w:r>
          </w:p>
        </w:tc>
      </w:tr>
    </w:tbl>
    <w:p>
      <w:pPr>
        <w:pStyle w:val="TextBody"/>
        <w:pBdr/>
        <w:bidi w:val="0"/>
        <w:spacing w:before="0" w:after="0"/>
        <w:ind w:left="0" w:right="0" w:hanging="0"/>
        <w:jc w:val="both"/>
        <w:rPr>
          <w:caps w:val="false"/>
          <w:smallCaps w:val="false"/>
        </w:rPr>
      </w:pPr>
      <w:bookmarkStart w:id="313" w:name="xdx_8A6_zXndiD1codre"/>
      <w:bookmarkEnd w:id="31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14" w:name="xdx_80C_eus-gaap--InventoryDisclosureTex"/>
      <w:bookmarkEnd w:id="314"/>
      <w:r>
        <w:rPr>
          <w:rFonts w:ascii="Times New Roman;Times;Serif" w:hAnsi="Times New Roman;Times;Serif"/>
          <w:b/>
          <w:i w:val="false"/>
          <w:caps w:val="false"/>
          <w:smallCaps w:val="false"/>
          <w:sz w:val="20"/>
        </w:rPr>
        <w:t xml:space="preserve">5. </w:t>
      </w:r>
      <w:bookmarkStart w:id="315" w:name="xdx_82E_zsnf9cG1moN2"/>
      <w:bookmarkEnd w:id="315"/>
      <w:r>
        <w:rPr>
          <w:rFonts w:ascii="Times New Roman;Times;Serif" w:hAnsi="Times New Roman;Times;Serif"/>
          <w:b/>
          <w:i w:val="false"/>
          <w:caps w:val="false"/>
          <w:smallCaps w:val="false"/>
          <w:sz w:val="20"/>
        </w:rPr>
        <w:t>Inventories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6" w:name="xdx_890_eus-gaap--ScheduleOfInventoryCur"/>
      <w:bookmarkEnd w:id="316"/>
      <w:r>
        <w:rPr>
          <w:rFonts w:ascii="Times New Roman;Times;Serif" w:hAnsi="Times New Roman;Times;Serif"/>
          <w:b w:val="false"/>
          <w:i w:val="false"/>
          <w:caps w:val="false"/>
          <w:smallCaps w:val="false"/>
          <w:sz w:val="20"/>
        </w:rPr>
        <w:t>Inventories consisted of the following (in thousands):</w:t>
      </w:r>
    </w:p>
    <w:p>
      <w:pPr>
        <w:pStyle w:val="TextBody"/>
        <w:pBdr/>
        <w:bidi w:val="0"/>
        <w:spacing w:before="0" w:after="0"/>
        <w:ind w:left="0" w:right="0" w:hanging="0"/>
        <w:jc w:val="both"/>
        <w:rPr>
          <w:caps w:val="false"/>
          <w:smallCaps w:val="false"/>
        </w:rPr>
      </w:pPr>
      <w:r>
        <w:rPr>
          <w:caps w:val="false"/>
          <w:smallCaps w:val="false"/>
        </w:rPr>
        <w:t> </w:t>
      </w:r>
      <w:bookmarkStart w:id="317" w:name="xdx_8B5_zVLH7i9dpADb"/>
      <w:bookmarkEnd w:id="317"/>
      <w:r>
        <w:rPr>
          <w:rFonts w:ascii="Times New Roman;Times;Serif" w:hAnsi="Times New Roman;Times;Serif"/>
          <w:b w:val="false"/>
          <w:i w:val="false"/>
          <w:caps w:val="false"/>
          <w:smallCaps w:val="false"/>
          <w:sz w:val="20"/>
        </w:rPr>
        <w:t>Schedule of Components of Inventory</w:t>
      </w:r>
    </w:p>
    <w:tbl>
      <w:tblPr>
        <w:tblW w:w="4215" w:type="dxa"/>
        <w:jc w:val="left"/>
        <w:tblInd w:w="0" w:type="dxa"/>
        <w:tblLayout w:type="fixed"/>
        <w:tblCellMar>
          <w:top w:w="0" w:type="dxa"/>
          <w:left w:w="0" w:type="dxa"/>
          <w:bottom w:w="0" w:type="dxa"/>
          <w:right w:w="0" w:type="dxa"/>
        </w:tblCellMar>
      </w:tblPr>
      <w:tblGrid>
        <w:gridCol w:w="1475"/>
        <w:gridCol w:w="60"/>
        <w:gridCol w:w="214"/>
        <w:gridCol w:w="856"/>
        <w:gridCol w:w="60"/>
        <w:gridCol w:w="60"/>
        <w:gridCol w:w="283"/>
        <w:gridCol w:w="1132"/>
        <w:gridCol w:w="75"/>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18" w:name="xdx_49E_20260331_zni97Zzk62Fl"/>
            <w:bookmarkEnd w:id="318"/>
          </w:p>
        </w:tc>
        <w:tc>
          <w:tcPr>
            <w:tcW w:w="1070" w:type="dxa"/>
            <w:gridSpan w:val="2"/>
            <w:tcBorders>
              <w:bottom w:val="single" w:sz="8"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7_20251231_zWUJ92LsyJUe"/>
            <w:bookmarkEnd w:id="319"/>
          </w:p>
        </w:tc>
        <w:tc>
          <w:tcPr>
            <w:tcW w:w="1415"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20" w:name="xdx_403_eus-gaap--InventoryRawMaterialsA"/>
            <w:bookmarkEnd w:id="320"/>
          </w:p>
        </w:tc>
      </w:tr>
      <w:tr>
        <w:trPr/>
        <w:tc>
          <w:tcPr>
            <w:tcW w:w="147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402</w:t>
            </w:r>
          </w:p>
        </w:tc>
        <w:tc>
          <w:tcPr>
            <w:tcW w:w="75" w:type="dxa"/>
            <w:tcBorders/>
            <w:shd w:fill="CCEEFF" w:val="clear"/>
            <w:vAlign w:val="center"/>
          </w:tcPr>
          <w:p>
            <w:pPr>
              <w:pStyle w:val="TableContents"/>
              <w:bidi w:val="0"/>
              <w:spacing w:before="0" w:after="283"/>
              <w:jc w:val="left"/>
              <w:rPr/>
            </w:pPr>
            <w:r>
              <w:rPr/>
              <w:t> </w:t>
            </w:r>
            <w:bookmarkStart w:id="321" w:name="xdx_40F_eus-gaap--InventoryWorkInProcess"/>
            <w:bookmarkEnd w:id="321"/>
          </w:p>
        </w:tc>
      </w:tr>
      <w:tr>
        <w:trPr/>
        <w:tc>
          <w:tcPr>
            <w:tcW w:w="1475" w:type="dxa"/>
            <w:tcBorders/>
            <w:shd w:fill="FFFFFF" w:val="clear"/>
            <w:vAlign w:val="center"/>
          </w:tcPr>
          <w:p>
            <w:pPr>
              <w:pStyle w:val="TableContents"/>
              <w:bidi w:val="0"/>
              <w:spacing w:before="0" w:after="283"/>
              <w:jc w:val="left"/>
              <w:rPr/>
            </w:pPr>
            <w:r>
              <w:rPr/>
              <w:t>WIP</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296</w:t>
            </w:r>
          </w:p>
        </w:tc>
        <w:tc>
          <w:tcPr>
            <w:tcW w:w="75" w:type="dxa"/>
            <w:tcBorders/>
            <w:shd w:fill="FFFFFF" w:val="clear"/>
            <w:vAlign w:val="center"/>
          </w:tcPr>
          <w:p>
            <w:pPr>
              <w:pStyle w:val="TableContents"/>
              <w:bidi w:val="0"/>
              <w:spacing w:before="0" w:after="283"/>
              <w:jc w:val="left"/>
              <w:rPr/>
            </w:pPr>
            <w:r>
              <w:rPr/>
              <w:t> </w:t>
            </w:r>
            <w:bookmarkStart w:id="322" w:name="xdx_400_eus-gaap--InventoryFinishedGoods"/>
            <w:bookmarkEnd w:id="322"/>
          </w:p>
        </w:tc>
      </w:tr>
      <w:tr>
        <w:trPr/>
        <w:tc>
          <w:tcPr>
            <w:tcW w:w="147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346</w:t>
            </w:r>
          </w:p>
        </w:tc>
        <w:tc>
          <w:tcPr>
            <w:tcW w:w="75" w:type="dxa"/>
            <w:tcBorders/>
            <w:shd w:fill="CCEEFF" w:val="clear"/>
            <w:vAlign w:val="center"/>
          </w:tcPr>
          <w:p>
            <w:pPr>
              <w:pStyle w:val="TableContents"/>
              <w:bidi w:val="0"/>
              <w:spacing w:before="0" w:after="283"/>
              <w:jc w:val="left"/>
              <w:rPr/>
            </w:pPr>
            <w:r>
              <w:rPr/>
              <w:t> </w:t>
            </w:r>
            <w:bookmarkStart w:id="323" w:name="xdx_404_ecustom--InventoryTotal_iTI_pn3n"/>
            <w:bookmarkEnd w:id="323"/>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1,394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1,044</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24" w:name="xdx_8A3_zY6gYN7Twqo5"/>
      <w:bookmarkEnd w:id="32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all inventories were classified as current. Inventories classified as current represent the carrying value of inventories as of March 31, 2026, that management estimates will be sold or used by March 31, 2027.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25" w:name="xdx_807_eus-gaap--FairValueDisclosuresTe"/>
      <w:bookmarkEnd w:id="325"/>
      <w:r>
        <w:rPr>
          <w:rFonts w:ascii="Times New Roman;Times;Serif" w:hAnsi="Times New Roman;Times;Serif"/>
          <w:b/>
          <w:i w:val="false"/>
          <w:caps w:val="false"/>
          <w:smallCaps w:val="false"/>
          <w:sz w:val="20"/>
        </w:rPr>
        <w:t xml:space="preserve">6. </w:t>
      </w:r>
      <w:bookmarkStart w:id="326" w:name="xdx_82F_zwOqsGtN3Hak"/>
      <w:bookmarkEnd w:id="326"/>
      <w:r>
        <w:rPr>
          <w:rFonts w:ascii="Times New Roman;Times;Serif" w:hAnsi="Times New Roman;Times;Serif"/>
          <w:b/>
          <w:i w:val="false"/>
          <w:caps w:val="false"/>
          <w:smallCaps w:val="false"/>
          <w:sz w:val="20"/>
        </w:rPr>
        <w:t>Fair Value Measurements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Measured and Recorded at Fair Value on a Recurring Basis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warrants to purchase shares of common stock, which are considered derivative liabilities because they have certain rights which could require a cash settlement and are re-measured to fair value at each reporting period in accordance with accounting guidance. Fair value is based on the price that would be received from selling an asset or paid to transfer a liability in an orderly transaction between market participants at the measurement date, under a three-tier fair value hierarchy which prioritizes the inputs used in measuring fair value as follows:</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32"/>
        <w:gridCol w:w="94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market prices for identical assets or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4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prices that are based on inputs not quoted on active markets but corroborated by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4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reflecting management’s assumptions, consistent with reasonably available assumptions made by other market participants. These valuations require significant judgment.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assets and liabilities measured at fair value in their entirety based on the lowest level of input that is significant to their fair value measurement. No financial assets or liabilities (except the derivative liabilities explained above) were measured on a recurring basis as of March 31, 2026, and December 31, 2025. The following tables set forth the financial liabilities measured at fair value on a recurring basis by level within the fair value hierarchy as of March 31, 2026, and December 31, 2025 (in thousands):</w:t>
      </w:r>
    </w:p>
    <w:p>
      <w:pPr>
        <w:pStyle w:val="TextBody"/>
        <w:pBdr/>
        <w:bidi w:val="0"/>
        <w:spacing w:before="0" w:after="0"/>
        <w:ind w:left="0" w:right="0" w:hanging="0"/>
        <w:jc w:val="both"/>
        <w:rPr>
          <w:caps w:val="false"/>
          <w:smallCaps w:val="false"/>
        </w:rPr>
      </w:pPr>
      <w:bookmarkStart w:id="327" w:name="xdx_896_eus-gaap--FairValueLiabilitiesMe"/>
      <w:bookmarkEnd w:id="327"/>
      <w:r>
        <w:rPr>
          <w:caps w:val="false"/>
          <w:smallCaps w:val="false"/>
        </w:rPr>
        <w:t> </w:t>
      </w:r>
      <w:bookmarkStart w:id="328" w:name="xdx_8BA_zmR48SFhRYZg"/>
      <w:bookmarkEnd w:id="328"/>
      <w:r>
        <w:rPr>
          <w:rFonts w:ascii="Times New Roman;Times;Serif" w:hAnsi="Times New Roman;Times;Serif"/>
          <w:b w:val="false"/>
          <w:i w:val="false"/>
          <w:caps w:val="false"/>
          <w:smallCaps w:val="false"/>
          <w:sz w:val="20"/>
        </w:rPr>
        <w:t>Schedule of Financial Liabilities Measured at Fair Value on Recurring Basis by Level Within Fair Value Hierarchy</w:t>
      </w:r>
    </w:p>
    <w:tbl>
      <w:tblPr>
        <w:tblW w:w="7604" w:type="dxa"/>
        <w:jc w:val="left"/>
        <w:tblInd w:w="0" w:type="dxa"/>
        <w:tblLayout w:type="fixed"/>
        <w:tblCellMar>
          <w:top w:w="0" w:type="dxa"/>
          <w:left w:w="0" w:type="dxa"/>
          <w:bottom w:w="0" w:type="dxa"/>
          <w:right w:w="0" w:type="dxa"/>
        </w:tblCellMar>
      </w:tblPr>
      <w:tblGrid>
        <w:gridCol w:w="2345"/>
        <w:gridCol w:w="60"/>
        <w:gridCol w:w="449"/>
        <w:gridCol w:w="305"/>
        <w:gridCol w:w="155"/>
        <w:gridCol w:w="155"/>
        <w:gridCol w:w="449"/>
        <w:gridCol w:w="305"/>
        <w:gridCol w:w="155"/>
        <w:gridCol w:w="155"/>
        <w:gridCol w:w="361"/>
        <w:gridCol w:w="982"/>
        <w:gridCol w:w="155"/>
        <w:gridCol w:w="155"/>
        <w:gridCol w:w="361"/>
        <w:gridCol w:w="982"/>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of March 31, 2026</w:t>
            </w:r>
          </w:p>
        </w:tc>
        <w:tc>
          <w:tcPr>
            <w:tcW w:w="75" w:type="dxa"/>
            <w:tcBorders/>
            <w:vAlign w:val="center"/>
          </w:tcPr>
          <w:p>
            <w:pPr>
              <w:pStyle w:val="TableContents"/>
              <w:bidi w:val="0"/>
              <w:spacing w:before="0" w:after="283"/>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329" w:name="xdx_984_eus-gaap--FinancialLiabilitiesFa"/>
            <w:bookmarkEnd w:id="329"/>
          </w:p>
        </w:tc>
        <w:tc>
          <w:tcPr>
            <w:tcW w:w="30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330" w:name="xdx_988_eus-gaap--FinancialLiabilitiesFa"/>
            <w:bookmarkEnd w:id="330"/>
          </w:p>
        </w:tc>
        <w:tc>
          <w:tcPr>
            <w:tcW w:w="30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bookmarkStart w:id="331" w:name="xdx_981_eus-gaap--FinancialLiabilitiesFa"/>
            <w:bookmarkEnd w:id="331"/>
          </w:p>
        </w:tc>
        <w:tc>
          <w:tcPr>
            <w:tcW w:w="982" w:type="dxa"/>
            <w:tcBorders/>
            <w:shd w:fill="FFFFFF" w:val="clear"/>
            <w:vAlign w:val="center"/>
          </w:tcPr>
          <w:p>
            <w:pPr>
              <w:pStyle w:val="TableContents"/>
              <w:bidi w:val="0"/>
              <w:spacing w:before="0" w:after="283"/>
              <w:jc w:val="right"/>
              <w:rPr/>
            </w:pPr>
            <w:r>
              <w:rPr/>
              <w:t>484</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bookmarkStart w:id="332" w:name="xdx_98F_eus-gaap--FinancialLiabilitiesFa"/>
            <w:bookmarkEnd w:id="332"/>
          </w:p>
        </w:tc>
        <w:tc>
          <w:tcPr>
            <w:tcW w:w="982" w:type="dxa"/>
            <w:tcBorders/>
            <w:shd w:fill="FFFFFF" w:val="clear"/>
            <w:vAlign w:val="center"/>
          </w:tcPr>
          <w:p>
            <w:pPr>
              <w:pStyle w:val="TableContents"/>
              <w:bidi w:val="0"/>
              <w:spacing w:before="0" w:after="283"/>
              <w:jc w:val="right"/>
              <w:rPr/>
            </w:pPr>
            <w:r>
              <w:rPr/>
              <w:t>484</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0" w:type="dxa"/>
          <w:left w:w="0" w:type="dxa"/>
          <w:bottom w:w="0" w:type="dxa"/>
          <w:right w:w="0" w:type="dxa"/>
        </w:tblCellMar>
      </w:tblPr>
      <w:tblGrid>
        <w:gridCol w:w="2345"/>
        <w:gridCol w:w="60"/>
        <w:gridCol w:w="449"/>
        <w:gridCol w:w="305"/>
        <w:gridCol w:w="166"/>
        <w:gridCol w:w="166"/>
        <w:gridCol w:w="449"/>
        <w:gridCol w:w="305"/>
        <w:gridCol w:w="166"/>
        <w:gridCol w:w="166"/>
        <w:gridCol w:w="387"/>
        <w:gridCol w:w="1052"/>
        <w:gridCol w:w="166"/>
        <w:gridCol w:w="166"/>
        <w:gridCol w:w="387"/>
        <w:gridCol w:w="1052"/>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333" w:name="xdx_988_eus-gaap--FinancialLiabilitiesFa"/>
            <w:bookmarkEnd w:id="333"/>
          </w:p>
        </w:tc>
        <w:tc>
          <w:tcPr>
            <w:tcW w:w="305" w:type="dxa"/>
            <w:tcBorders/>
            <w:shd w:fill="FFFFFF" w:val="clear"/>
            <w:vAlign w:val="center"/>
          </w:tcPr>
          <w:p>
            <w:pPr>
              <w:pStyle w:val="TableContents"/>
              <w:bidi w:val="0"/>
              <w:spacing w:before="0" w:after="283"/>
              <w:jc w:val="right"/>
              <w:rPr/>
            </w:pPr>
            <w:r>
              <w:rPr/>
              <w:t>-</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334" w:name="xdx_98B_eus-gaap--FinancialLiabilitiesFa"/>
            <w:bookmarkEnd w:id="334"/>
          </w:p>
        </w:tc>
        <w:tc>
          <w:tcPr>
            <w:tcW w:w="305" w:type="dxa"/>
            <w:tcBorders/>
            <w:shd w:fill="FFFFFF" w:val="clear"/>
            <w:vAlign w:val="center"/>
          </w:tcPr>
          <w:p>
            <w:pPr>
              <w:pStyle w:val="TableContents"/>
              <w:bidi w:val="0"/>
              <w:spacing w:before="0" w:after="283"/>
              <w:jc w:val="right"/>
              <w:rPr/>
            </w:pPr>
            <w:r>
              <w:rPr/>
              <w:t>-</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w:t>
            </w:r>
            <w:bookmarkStart w:id="335" w:name="xdx_984_eus-gaap--FinancialLiabilitiesFa"/>
            <w:bookmarkEnd w:id="335"/>
          </w:p>
        </w:tc>
        <w:tc>
          <w:tcPr>
            <w:tcW w:w="1052" w:type="dxa"/>
            <w:tcBorders/>
            <w:shd w:fill="FFFFFF" w:val="clear"/>
            <w:vAlign w:val="center"/>
          </w:tcPr>
          <w:p>
            <w:pPr>
              <w:pStyle w:val="TableContents"/>
              <w:bidi w:val="0"/>
              <w:spacing w:before="0" w:after="283"/>
              <w:jc w:val="right"/>
              <w:rPr/>
            </w:pPr>
            <w:r>
              <w:rPr/>
              <w:t>827</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w:t>
            </w:r>
            <w:bookmarkStart w:id="336" w:name="xdx_987_eus-gaap--FinancialLiabilitiesFa"/>
            <w:bookmarkEnd w:id="336"/>
          </w:p>
        </w:tc>
        <w:tc>
          <w:tcPr>
            <w:tcW w:w="1052" w:type="dxa"/>
            <w:tcBorders/>
            <w:shd w:fill="FFFFFF" w:val="clear"/>
            <w:vAlign w:val="center"/>
          </w:tcPr>
          <w:p>
            <w:pPr>
              <w:pStyle w:val="TableContents"/>
              <w:bidi w:val="0"/>
              <w:spacing w:before="0" w:after="283"/>
              <w:jc w:val="right"/>
              <w:rPr/>
            </w:pPr>
            <w:r>
              <w:rPr/>
              <w:t>827</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37" w:name="xdx_8A5_zvh0iWMjg49j"/>
      <w:bookmarkEnd w:id="33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8" w:name="xdx_890_eus-gaap--FairValueLiabilitiesMe"/>
      <w:bookmarkEnd w:id="338"/>
      <w:r>
        <w:rPr>
          <w:rFonts w:ascii="Times New Roman;Times;Serif" w:hAnsi="Times New Roman;Times;Serif"/>
          <w:b w:val="false"/>
          <w:i w:val="false"/>
          <w:caps w:val="false"/>
          <w:smallCaps w:val="false"/>
          <w:sz w:val="20"/>
        </w:rPr>
        <w:t>The Company did not have any transfers of assets and liabilities between Level 1 and Level 2 of the fair value measurement hierarchy during the three months ended March 31, 2026, and 2025. The following table presents a reconciliation of the derivative liabilities measured at fair value on a recurring basis using significant unobservable inputs (Level 3) during the three months ended March 31, 2026, and 2025 (in thousands):</w:t>
      </w:r>
    </w:p>
    <w:p>
      <w:pPr>
        <w:pStyle w:val="TextBody"/>
        <w:pBdr/>
        <w:bidi w:val="0"/>
        <w:spacing w:before="0" w:after="0"/>
        <w:ind w:left="0" w:right="0" w:hanging="0"/>
        <w:jc w:val="both"/>
        <w:rPr>
          <w:caps w:val="false"/>
          <w:smallCaps w:val="false"/>
        </w:rPr>
      </w:pPr>
      <w:r>
        <w:rPr>
          <w:caps w:val="false"/>
          <w:smallCaps w:val="false"/>
        </w:rPr>
        <w:t> </w:t>
      </w:r>
      <w:bookmarkStart w:id="339" w:name="xdx_8BF_z08u9Fyah2sc"/>
      <w:bookmarkEnd w:id="339"/>
      <w:r>
        <w:rPr>
          <w:rFonts w:ascii="Times New Roman;Times;Serif" w:hAnsi="Times New Roman;Times;Serif"/>
          <w:b w:val="false"/>
          <w:i w:val="false"/>
          <w:caps w:val="false"/>
          <w:smallCaps w:val="false"/>
          <w:sz w:val="20"/>
        </w:rPr>
        <w:t>Schedule of Fair Value Measurement Hierarchy of Derivative Liability</w:t>
      </w:r>
    </w:p>
    <w:tbl>
      <w:tblPr>
        <w:tblW w:w="4724" w:type="dxa"/>
        <w:jc w:val="left"/>
        <w:tblInd w:w="0" w:type="dxa"/>
        <w:tblLayout w:type="fixed"/>
        <w:tblCellMar>
          <w:top w:w="0" w:type="dxa"/>
          <w:left w:w="0" w:type="dxa"/>
          <w:bottom w:w="0" w:type="dxa"/>
          <w:right w:w="0" w:type="dxa"/>
        </w:tblCellMar>
      </w:tblPr>
      <w:tblGrid>
        <w:gridCol w:w="3245"/>
        <w:gridCol w:w="60"/>
        <w:gridCol w:w="306"/>
        <w:gridCol w:w="1003"/>
        <w:gridCol w:w="11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Common 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11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340" w:name="xdx_98A_eus-gaap--FairValueMeasurementWi"/>
            <w:bookmarkEnd w:id="340"/>
          </w:p>
        </w:tc>
        <w:tc>
          <w:tcPr>
            <w:tcW w:w="1003" w:type="dxa"/>
            <w:tcBorders/>
            <w:shd w:fill="CCEEFF" w:val="cle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1" w:name="xdx_98B_eus-gaap--FairValueMeasurementWi"/>
            <w:bookmarkEnd w:id="341"/>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as of March 31, 2025</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2" w:name="xdx_989_eus-gaap--FairValueMeasurementWi"/>
            <w:bookmarkEnd w:id="342"/>
          </w:p>
        </w:tc>
        <w:tc>
          <w:tcPr>
            <w:tcW w:w="1003" w:type="dxa"/>
            <w:tcBorders>
              <w:bottom w:val="double" w:sz="6" w:space="0" w:color="000000"/>
            </w:tcBorders>
            <w:shd w:fill="CCEEFF" w:val="clear"/>
            <w:tcMar>
              <w:bottom w:w="28" w:type="dxa"/>
            </w:tcMar>
            <w:vAlign w:val="center"/>
          </w:tcPr>
          <w:p>
            <w:pPr>
              <w:pStyle w:val="TableContents"/>
              <w:bidi w:val="0"/>
              <w:spacing w:before="0" w:after="283"/>
              <w:jc w:val="right"/>
              <w:rPr/>
            </w:pPr>
            <w:r>
              <w:rPr/>
              <w:t>121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343" w:name="xdx_981_eus-gaap--FairValueMeasurementWi"/>
            <w:bookmarkEnd w:id="343"/>
          </w:p>
        </w:tc>
        <w:tc>
          <w:tcPr>
            <w:tcW w:w="1003" w:type="dxa"/>
            <w:tcBorders/>
            <w:shd w:fill="CCEEFF" w:val="clear"/>
            <w:vAlign w:val="center"/>
          </w:tcPr>
          <w:p>
            <w:pPr>
              <w:pStyle w:val="TableContents"/>
              <w:bidi w:val="0"/>
              <w:spacing w:before="0" w:after="283"/>
              <w:jc w:val="right"/>
              <w:rPr/>
            </w:pPr>
            <w:r>
              <w:rPr/>
              <w:t>827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4" w:name="xdx_98F_eus-gaap--FairValueMeasurementWi"/>
            <w:bookmarkEnd w:id="344"/>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pPr>
            <w:r>
              <w:rPr/>
              <w:t>(343</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as of March 31, 2026</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5" w:name="xdx_98A_eus-gaap--FairValueMeasurementWi"/>
            <w:bookmarkEnd w:id="345"/>
          </w:p>
        </w:tc>
        <w:tc>
          <w:tcPr>
            <w:tcW w:w="1003" w:type="dxa"/>
            <w:tcBorders>
              <w:bottom w:val="double" w:sz="6" w:space="0" w:color="000000"/>
            </w:tcBorders>
            <w:shd w:fill="CCEEFF" w:val="clear"/>
            <w:tcMar>
              <w:bottom w:w="28" w:type="dxa"/>
            </w:tcMar>
            <w:vAlign w:val="center"/>
          </w:tcPr>
          <w:p>
            <w:pPr>
              <w:pStyle w:val="TableContents"/>
              <w:bidi w:val="0"/>
              <w:spacing w:before="0" w:after="283"/>
              <w:jc w:val="right"/>
              <w:rPr/>
            </w:pPr>
            <w:r>
              <w:rPr/>
              <w:t>484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46" w:name="xdx_8A5_zbfOzJOalkYj"/>
      <w:bookmarkEnd w:id="346"/>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Warrants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warrants to purchase shares of common stock, which are considered derivative liabilities because they have registration rights which could require a cash settlement and are re-measured to fair value at each reporting period in accordance with accounting guidance. As of March 31, 2026, and December 31, 2025, the derivative liability was calculated using the Monte Carlo simulation valuation.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47" w:name="xdx_895_eus-gaap--ScheduleOfAssumptionsU"/>
      <w:bookmarkEnd w:id="347"/>
      <w:r>
        <w:rPr>
          <w:rFonts w:ascii="Times New Roman;Times;Serif" w:hAnsi="Times New Roman;Times;Serif"/>
          <w:b w:val="false"/>
          <w:i w:val="false"/>
          <w:caps w:val="false"/>
          <w:smallCaps w:val="false"/>
          <w:sz w:val="20"/>
        </w:rPr>
        <w:t>The assumptions used in estimating the common stock warrant liability using the Monte Carlo simulation valuation model as of March 31, 2026, and December 31, 2025 were as follows:</w:t>
      </w:r>
    </w:p>
    <w:p>
      <w:pPr>
        <w:pStyle w:val="TextBody"/>
        <w:pBdr/>
        <w:bidi w:val="0"/>
        <w:spacing w:before="0" w:after="0"/>
        <w:ind w:left="0" w:right="0" w:hanging="0"/>
        <w:jc w:val="both"/>
        <w:rPr>
          <w:caps w:val="false"/>
          <w:smallCaps w:val="false"/>
        </w:rPr>
      </w:pPr>
      <w:r>
        <w:rPr>
          <w:caps w:val="false"/>
          <w:smallCaps w:val="false"/>
        </w:rPr>
        <w:t> </w:t>
      </w:r>
      <w:bookmarkStart w:id="348" w:name="xdx_8BE_zLH4KM3mp22l"/>
      <w:bookmarkEnd w:id="348"/>
      <w:r>
        <w:rPr>
          <w:rFonts w:ascii="Times New Roman;Times;Serif" w:hAnsi="Times New Roman;Times;Serif"/>
          <w:b w:val="false"/>
          <w:i w:val="false"/>
          <w:caps w:val="false"/>
          <w:smallCaps w:val="false"/>
          <w:sz w:val="20"/>
        </w:rPr>
        <w:t>Schedule of Assumptions Used in Estimating Fair Value</w:t>
      </w:r>
    </w:p>
    <w:tbl>
      <w:tblPr>
        <w:tblW w:w="7270" w:type="dxa"/>
        <w:jc w:val="left"/>
        <w:tblInd w:w="0" w:type="dxa"/>
        <w:tblLayout w:type="fixed"/>
        <w:tblCellMar>
          <w:top w:w="0" w:type="dxa"/>
          <w:left w:w="0" w:type="dxa"/>
          <w:bottom w:w="0" w:type="dxa"/>
          <w:right w:w="0" w:type="dxa"/>
        </w:tblCellMar>
      </w:tblPr>
      <w:tblGrid>
        <w:gridCol w:w="3965"/>
        <w:gridCol w:w="60"/>
        <w:gridCol w:w="60"/>
        <w:gridCol w:w="1280"/>
        <w:gridCol w:w="215"/>
        <w:gridCol w:w="60"/>
        <w:gridCol w:w="60"/>
        <w:gridCol w:w="1340"/>
        <w:gridCol w:w="230"/>
      </w:tblGrid>
      <w:tr>
        <w:trPr/>
        <w:tc>
          <w:tcPr>
            <w:tcW w:w="39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80"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March 31,</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w:t>
            </w:r>
          </w:p>
        </w:tc>
        <w:tc>
          <w:tcPr>
            <w:tcW w:w="2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340" w:type="dxa"/>
            <w:tcBorders>
              <w:bottom w:val="single" w:sz="8" w:space="0" w:color="000000"/>
            </w:tcBorders>
            <w:shd w:fill="FFFFFF" w:val="clear"/>
            <w:tcMar>
              <w:bottom w:w="28" w:type="dxa"/>
            </w:tcMar>
            <w:vAlign w:val="center"/>
          </w:tcPr>
          <w:p>
            <w:pPr>
              <w:pStyle w:val="TableContents"/>
              <w:bidi w:val="0"/>
              <w:jc w:val="center"/>
              <w:rPr/>
            </w:pPr>
            <w:r>
              <w:rPr/>
              <w:t> </w:t>
            </w:r>
            <w:r>
              <w:rPr>
                <w:rFonts w:ascii="Times New Roman;Times;Serif" w:hAnsi="Times New Roman;Times;Serif"/>
                <w:b/>
                <w:sz w:val="20"/>
              </w:rPr>
              <w:t>December 31,</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w:t>
            </w:r>
          </w:p>
        </w:tc>
        <w:tc>
          <w:tcPr>
            <w:tcW w:w="230" w:type="dxa"/>
            <w:tcBorders/>
            <w:shd w:fill="FFFFFF" w:val="clear"/>
            <w:vAlign w:val="center"/>
          </w:tcPr>
          <w:p>
            <w:pPr>
              <w:pStyle w:val="TableContents"/>
              <w:bidi w:val="0"/>
              <w:spacing w:before="0" w:after="283"/>
              <w:jc w:val="center"/>
              <w:rPr/>
            </w:pPr>
            <w:r>
              <w:rPr/>
              <w:t> </w:t>
            </w:r>
          </w:p>
        </w:tc>
      </w:tr>
      <w:tr>
        <w:trPr/>
        <w:tc>
          <w:tcPr>
            <w:tcW w:w="3965" w:type="dxa"/>
            <w:tcBorders/>
            <w:shd w:fill="CCEEFF" w:val="clear"/>
            <w:vAlign w:val="center"/>
          </w:tcPr>
          <w:p>
            <w:pPr>
              <w:pStyle w:val="TableContents"/>
              <w:bidi w:val="0"/>
              <w:spacing w:before="0" w:after="283"/>
              <w:jc w:val="left"/>
              <w:rPr/>
            </w:pPr>
            <w:r>
              <w:rPr/>
              <w:t>Weighted-average 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bookmarkStart w:id="349" w:name="xdx_904_eus-gaap--WarrantsAndRightsOutst"/>
            <w:bookmarkEnd w:id="349"/>
            <w:r>
              <w:rPr>
                <w:rFonts w:ascii="Times New Roman;Times;Serif" w:hAnsi="Times New Roman;Times;Serif"/>
                <w:sz w:val="20"/>
              </w:rPr>
              <w:t>3.74-</w:t>
            </w:r>
            <w:bookmarkStart w:id="350" w:name="xdx_907_eus-gaap--WarrantsAndRightsOutst"/>
            <w:bookmarkEnd w:id="350"/>
            <w:r>
              <w:rPr>
                <w:rFonts w:ascii="Times New Roman;Times;Serif" w:hAnsi="Times New Roman;Times;Serif"/>
                <w:sz w:val="20"/>
              </w:rPr>
              <w:t>3.88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bookmarkStart w:id="351" w:name="xdx_908_eus-gaap--WarrantsAndRightsOutst"/>
            <w:bookmarkEnd w:id="351"/>
            <w:r>
              <w:rPr>
                <w:rFonts w:ascii="Times New Roman;Times;Serif" w:hAnsi="Times New Roman;Times;Serif"/>
                <w:sz w:val="20"/>
              </w:rPr>
              <w:t>3.42-</w:t>
            </w:r>
            <w:bookmarkStart w:id="352" w:name="xdx_903_eus-gaap--WarrantsAndRightsOutst"/>
            <w:bookmarkEnd w:id="352"/>
            <w:r>
              <w:rPr>
                <w:rFonts w:ascii="Times New Roman;Times;Serif" w:hAnsi="Times New Roman;Times;Serif"/>
                <w:sz w:val="20"/>
              </w:rPr>
              <w:t>3.65</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Weighted-average 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bookmarkStart w:id="353" w:name="xdx_902_eus-gaap--WarrantsAndRightsOutst"/>
            <w:bookmarkEnd w:id="353"/>
            <w:r>
              <w:rPr>
                <w:rFonts w:ascii="Times New Roman;Times;Serif" w:hAnsi="Times New Roman;Times;Serif"/>
                <w:sz w:val="20"/>
              </w:rPr>
              <w:t>1.55-</w:t>
            </w:r>
            <w:bookmarkStart w:id="354" w:name="xdx_90B_eus-gaap--WarrantsAndRightsOutst"/>
            <w:bookmarkEnd w:id="354"/>
            <w:r>
              <w:rPr>
                <w:rFonts w:ascii="Times New Roman;Times;Serif" w:hAnsi="Times New Roman;Times;Serif"/>
                <w:sz w:val="20"/>
              </w:rPr>
              <w:t>4.23 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bookmarkStart w:id="355" w:name="xdx_907_eus-gaap--WarrantsAndRightsOutst"/>
            <w:bookmarkEnd w:id="355"/>
            <w:r>
              <w:rPr>
                <w:rFonts w:ascii="Times New Roman;Times;Serif" w:hAnsi="Times New Roman;Times;Serif"/>
                <w:sz w:val="20"/>
              </w:rPr>
              <w:t>0.11-</w:t>
            </w:r>
            <w:bookmarkStart w:id="356" w:name="xdx_903_eus-gaap--WarrantsAndRightsOutst"/>
            <w:bookmarkEnd w:id="356"/>
            <w:r>
              <w:rPr>
                <w:rFonts w:ascii="Times New Roman;Times;Serif" w:hAnsi="Times New Roman;Times;Serif"/>
                <w:sz w:val="20"/>
              </w:rPr>
              <w:t>4.48 </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7" w:name="xdx_988_eus-gaap--WarrantsAndRightsOutst"/>
            <w:bookmarkEnd w:id="357"/>
          </w:p>
        </w:tc>
        <w:tc>
          <w:tcPr>
            <w:tcW w:w="12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bookmarkStart w:id="358" w:name="xdx_901_eus-gaap--WarrantsAndRightsOutst"/>
            <w:bookmarkEnd w:id="358"/>
            <w:r>
              <w:rPr/>
              <w:t>-</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Weighted-average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bookmarkStart w:id="359" w:name="xdx_901_eus-gaap--WarrantsAndRightsOutst"/>
            <w:bookmarkEnd w:id="359"/>
            <w:r>
              <w:rPr>
                <w:rFonts w:ascii="Times New Roman;Times;Serif" w:hAnsi="Times New Roman;Times;Serif"/>
                <w:sz w:val="20"/>
              </w:rPr>
              <w:t>120.00-</w:t>
            </w:r>
            <w:bookmarkStart w:id="360" w:name="xdx_90A_eus-gaap--WarrantsAndRightsOutst"/>
            <w:bookmarkEnd w:id="360"/>
            <w:r>
              <w:rPr>
                <w:rFonts w:ascii="Times New Roman;Times;Serif" w:hAnsi="Times New Roman;Times;Serif"/>
                <w:sz w:val="20"/>
              </w:rPr>
              <w:t>150.00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bookmarkStart w:id="361" w:name="xdx_90C_eus-gaap--WarrantsAndRightsOutst"/>
            <w:bookmarkEnd w:id="361"/>
            <w:r>
              <w:rPr/>
              <w:t> </w:t>
            </w:r>
            <w:r>
              <w:rPr>
                <w:rFonts w:ascii="Times New Roman;Times;Serif" w:hAnsi="Times New Roman;Times;Serif"/>
                <w:sz w:val="20"/>
              </w:rPr>
              <w:t>115.00-</w:t>
            </w:r>
            <w:bookmarkStart w:id="362" w:name="xdx_90D_eus-gaap--WarrantsAndRightsOutst"/>
            <w:bookmarkEnd w:id="362"/>
            <w:r>
              <w:rPr>
                <w:rFonts w:ascii="Times New Roman;Times;Serif" w:hAnsi="Times New Roman;Times;Serif"/>
                <w:sz w:val="20"/>
              </w:rPr>
              <w:t>175.00</w:t>
            </w:r>
          </w:p>
        </w:tc>
        <w:tc>
          <w:tcPr>
            <w:tcW w:w="230" w:type="dxa"/>
            <w:tcBorders/>
            <w:shd w:fill="FFFFFF" w:val="clear"/>
            <w:vAlign w:val="center"/>
          </w:tcPr>
          <w:p>
            <w:pPr>
              <w:pStyle w:val="TableContents"/>
              <w:bidi w:val="0"/>
              <w:spacing w:before="0" w:after="283"/>
              <w:jc w:val="left"/>
              <w:rPr/>
            </w:pPr>
            <w:r>
              <w:rPr/>
              <w:t>%</w:t>
            </w:r>
          </w:p>
        </w:tc>
      </w:tr>
    </w:tbl>
    <w:p>
      <w:pPr>
        <w:pStyle w:val="TextBody"/>
        <w:pBdr/>
        <w:bidi w:val="0"/>
        <w:spacing w:before="0" w:after="0"/>
        <w:ind w:left="0" w:right="0" w:hanging="0"/>
        <w:jc w:val="both"/>
        <w:rPr>
          <w:caps w:val="false"/>
          <w:smallCaps w:val="false"/>
        </w:rPr>
      </w:pPr>
      <w:bookmarkStart w:id="363" w:name="xdx_8A5_z3GM2sQRSBCe"/>
      <w:bookmarkEnd w:id="363"/>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Instruments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recorded values of cash and cash equivalents, account and other receivables, accounts payable and accrued liabilities approximate their fair values based on their short-term nature. The recorded value of notes payable approximates the fair value as the interest rate approximates market interest rates.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64" w:name="xdx_80F_eus-gaap--AccountsPayableAccrued"/>
      <w:bookmarkEnd w:id="364"/>
      <w:r>
        <w:rPr>
          <w:rFonts w:ascii="Times New Roman;Times;Serif" w:hAnsi="Times New Roman;Times;Serif"/>
          <w:b/>
          <w:i w:val="false"/>
          <w:caps w:val="false"/>
          <w:smallCaps w:val="false"/>
          <w:sz w:val="20"/>
        </w:rPr>
        <w:t xml:space="preserve">7. </w:t>
      </w:r>
      <w:bookmarkStart w:id="365" w:name="xdx_82F_zZ8gTDJsPfJ4"/>
      <w:bookmarkEnd w:id="365"/>
      <w:r>
        <w:rPr>
          <w:rFonts w:ascii="Times New Roman;Times;Serif" w:hAnsi="Times New Roman;Times;Serif"/>
          <w:b/>
          <w:i w:val="false"/>
          <w:caps w:val="false"/>
          <w:smallCaps w:val="false"/>
          <w:sz w:val="20"/>
        </w:rPr>
        <w:t>Accrued and Other Current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66" w:name="xdx_898_eus-gaap--ScheduleOfAccruedLiabi"/>
      <w:bookmarkEnd w:id="366"/>
      <w:r>
        <w:rPr>
          <w:rFonts w:ascii="Times New Roman;Times;Serif" w:hAnsi="Times New Roman;Times;Serif"/>
          <w:b w:val="false"/>
          <w:i w:val="false"/>
          <w:caps w:val="false"/>
          <w:smallCaps w:val="false"/>
          <w:sz w:val="20"/>
        </w:rPr>
        <w:t>Accrued liabilities consisted of the following (in thousands):</w:t>
      </w:r>
    </w:p>
    <w:p>
      <w:pPr>
        <w:pStyle w:val="TextBody"/>
        <w:pBdr/>
        <w:bidi w:val="0"/>
        <w:spacing w:before="0" w:after="0"/>
        <w:ind w:left="0" w:right="0" w:hanging="0"/>
        <w:jc w:val="both"/>
        <w:rPr>
          <w:caps w:val="false"/>
          <w:smallCaps w:val="false"/>
        </w:rPr>
      </w:pPr>
      <w:r>
        <w:rPr>
          <w:caps w:val="false"/>
          <w:smallCaps w:val="false"/>
        </w:rPr>
        <w:t> </w:t>
      </w:r>
      <w:bookmarkStart w:id="367" w:name="xdx_8B3_zd2t3ufarjGl"/>
      <w:bookmarkEnd w:id="367"/>
      <w:r>
        <w:rPr>
          <w:rFonts w:ascii="Times New Roman;Times;Serif" w:hAnsi="Times New Roman;Times;Serif"/>
          <w:b w:val="false"/>
          <w:i w:val="false"/>
          <w:caps w:val="false"/>
          <w:smallCaps w:val="false"/>
          <w:sz w:val="20"/>
        </w:rPr>
        <w:t>Schedule of Accrued Liabilities</w:t>
      </w:r>
    </w:p>
    <w:tbl>
      <w:tblPr>
        <w:tblW w:w="5368" w:type="dxa"/>
        <w:jc w:val="left"/>
        <w:tblInd w:w="0" w:type="dxa"/>
        <w:tblLayout w:type="fixed"/>
        <w:tblCellMar>
          <w:top w:w="0" w:type="dxa"/>
          <w:left w:w="0" w:type="dxa"/>
          <w:bottom w:w="0" w:type="dxa"/>
          <w:right w:w="0" w:type="dxa"/>
        </w:tblCellMar>
      </w:tblPr>
      <w:tblGrid>
        <w:gridCol w:w="2630"/>
        <w:gridCol w:w="60"/>
        <w:gridCol w:w="287"/>
        <w:gridCol w:w="782"/>
        <w:gridCol w:w="60"/>
        <w:gridCol w:w="60"/>
        <w:gridCol w:w="380"/>
        <w:gridCol w:w="1034"/>
        <w:gridCol w:w="75"/>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8" w:name="xdx_49C_20260331_zndGiJ36BfH"/>
            <w:bookmarkEnd w:id="368"/>
          </w:p>
        </w:tc>
        <w:tc>
          <w:tcPr>
            <w:tcW w:w="1069" w:type="dxa"/>
            <w:gridSpan w:val="2"/>
            <w:tcBorders>
              <w:bottom w:val="single" w:sz="8"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93_20251231_zEcQlsqqI7i2"/>
            <w:bookmarkEnd w:id="369"/>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70" w:name="xdx_405_eus-gaap--EmployeeRelatedLiabili"/>
            <w:bookmarkEnd w:id="370"/>
          </w:p>
        </w:tc>
      </w:tr>
      <w:tr>
        <w:trPr/>
        <w:tc>
          <w:tcPr>
            <w:tcW w:w="2630" w:type="dxa"/>
            <w:tcBorders/>
            <w:shd w:fill="CCEEFF" w:val="clear"/>
            <w:vAlign w:val="center"/>
          </w:tcPr>
          <w:p>
            <w:pPr>
              <w:pStyle w:val="TableContents"/>
              <w:bidi w:val="0"/>
              <w:spacing w:before="0" w:after="283"/>
              <w:jc w:val="left"/>
              <w:rPr/>
            </w:pPr>
            <w:r>
              <w:rPr/>
              <w:t>Payroll and related expense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bookmarkStart w:id="371" w:name="xdx_400_ecustom--AccruedPayableCurrent_i"/>
            <w:bookmarkEnd w:id="371"/>
          </w:p>
        </w:tc>
      </w:tr>
      <w:tr>
        <w:trPr/>
        <w:tc>
          <w:tcPr>
            <w:tcW w:w="2630" w:type="dxa"/>
            <w:tcBorders/>
            <w:shd w:fill="FFFFFF" w:val="clear"/>
            <w:vAlign w:val="center"/>
          </w:tcPr>
          <w:p>
            <w:pPr>
              <w:pStyle w:val="TableContents"/>
              <w:bidi w:val="0"/>
              <w:spacing w:before="0" w:after="283"/>
              <w:jc w:val="left"/>
              <w:rPr/>
            </w:pPr>
            <w:r>
              <w:rPr/>
              <w:t>Accrued payables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50</w:t>
            </w:r>
          </w:p>
        </w:tc>
        <w:tc>
          <w:tcPr>
            <w:tcW w:w="75" w:type="dxa"/>
            <w:tcBorders/>
            <w:shd w:fill="FFFFFF" w:val="clear"/>
            <w:vAlign w:val="center"/>
          </w:tcPr>
          <w:p>
            <w:pPr>
              <w:pStyle w:val="TableContents"/>
              <w:bidi w:val="0"/>
              <w:spacing w:before="0" w:after="283"/>
              <w:jc w:val="left"/>
              <w:rPr/>
            </w:pPr>
            <w:r>
              <w:rPr/>
              <w:t> </w:t>
            </w:r>
            <w:bookmarkStart w:id="372" w:name="xdx_40E_eus-gaap--OtherAccruedLiabilitie"/>
            <w:bookmarkEnd w:id="372"/>
          </w:p>
        </w:tc>
      </w:tr>
      <w:tr>
        <w:trPr/>
        <w:tc>
          <w:tcPr>
            <w:tcW w:w="263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pPr>
            <w:r>
              <w:rPr/>
              <w:t>252</w:t>
            </w:r>
          </w:p>
        </w:tc>
        <w:tc>
          <w:tcPr>
            <w:tcW w:w="75" w:type="dxa"/>
            <w:tcBorders/>
            <w:shd w:fill="CCEEFF" w:val="clear"/>
            <w:vAlign w:val="center"/>
          </w:tcPr>
          <w:p>
            <w:pPr>
              <w:pStyle w:val="TableContents"/>
              <w:bidi w:val="0"/>
              <w:spacing w:before="0" w:after="283"/>
              <w:jc w:val="left"/>
              <w:rPr/>
            </w:pPr>
            <w:r>
              <w:rPr/>
              <w:t> </w:t>
            </w:r>
            <w:bookmarkStart w:id="373" w:name="xdx_40E_eus-gaap--AccruedLiabilitiesCurr"/>
            <w:bookmarkEnd w:id="373"/>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pPr>
            <w:r>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pPr>
            <w:r>
              <w:rPr/>
              <w:t>422</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74" w:name="xdx_8A1_zzyEYi4cnuPe"/>
      <w:bookmarkEnd w:id="37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 consisted of deposits for stock issuance of $</w:t>
      </w:r>
      <w:bookmarkStart w:id="375" w:name="xdx_90C_eus-gaap--OtherLiabilitiesCurren"/>
      <w:bookmarkEnd w:id="375"/>
      <w:r>
        <w:rPr>
          <w:rFonts w:ascii="Times New Roman;Times;Serif" w:hAnsi="Times New Roman;Times;Serif"/>
          <w:b w:val="false"/>
          <w:i w:val="false"/>
          <w:caps w:val="false"/>
          <w:smallCaps w:val="false"/>
          <w:sz w:val="20"/>
        </w:rPr>
        <w:t>1.7 million. The stock issuance is related to the 2025 Warrant Inducement (see Note 9), and the stock is held in abeyance, as of March 31, 2026.</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76" w:name="xdx_803_eus-gaap--DebtDisclosureTextBloc"/>
      <w:bookmarkEnd w:id="376"/>
      <w:r>
        <w:rPr>
          <w:rFonts w:ascii="Times New Roman;Times;Serif" w:hAnsi="Times New Roman;Times;Serif"/>
          <w:b/>
          <w:i w:val="false"/>
          <w:caps w:val="false"/>
          <w:smallCaps w:val="false"/>
          <w:sz w:val="20"/>
        </w:rPr>
        <w:t xml:space="preserve">8. </w:t>
      </w:r>
      <w:bookmarkStart w:id="377" w:name="xdx_824_zPjKOQy2Lm8l"/>
      <w:bookmarkEnd w:id="377"/>
      <w:r>
        <w:rPr>
          <w:rFonts w:ascii="Times New Roman;Times;Serif" w:hAnsi="Times New Roman;Times;Serif"/>
          <w:b/>
          <w:i w:val="false"/>
          <w:caps w:val="false"/>
          <w:smallCaps w:val="false"/>
          <w:sz w:val="20"/>
        </w:rPr>
        <w:t>Debt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Premium Finance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 connection with securing Director and Officer professional liability insurance, the Company entered into a premium finance arrangement to extend the premium payment out for a period of 10 months. The Company paid a total of $</w:t>
      </w:r>
      <w:bookmarkStart w:id="378" w:name="xdx_909_ecustom--UpFrontInsurancePremium"/>
      <w:bookmarkEnd w:id="378"/>
      <w:r>
        <w:rPr>
          <w:rFonts w:ascii="Times New Roman;Times;Serif" w:hAnsi="Times New Roman;Times;Serif"/>
          <w:b w:val="false"/>
          <w:i w:val="false"/>
          <w:caps w:val="false"/>
          <w:smallCaps w:val="false"/>
          <w:sz w:val="20"/>
        </w:rPr>
        <w:t>26,000 up front toward the insurance premium and financed approximately $</w:t>
      </w:r>
      <w:bookmarkStart w:id="379" w:name="xdx_90D_ecustom--FinancedInsurancePremiu"/>
      <w:bookmarkEnd w:id="379"/>
      <w:r>
        <w:rPr>
          <w:rFonts w:ascii="Times New Roman;Times;Serif" w:hAnsi="Times New Roman;Times;Serif"/>
          <w:b w:val="false"/>
          <w:i w:val="false"/>
          <w:caps w:val="false"/>
          <w:smallCaps w:val="false"/>
          <w:sz w:val="20"/>
        </w:rPr>
        <w:t xml:space="preserve">145,000. The Company made 10 equal payments under the terms of the premium finance agreement. The premium finance agreement bore interest at an annual percentage rate of </w:t>
      </w:r>
      <w:bookmarkStart w:id="380" w:name="xdx_902_eus-gaap--DebtInstrumentInterest"/>
      <w:bookmarkEnd w:id="380"/>
      <w:r>
        <w:rPr>
          <w:rFonts w:ascii="Times New Roman;Times;Serif" w:hAnsi="Times New Roman;Times;Serif"/>
          <w:b w:val="false"/>
          <w:i w:val="false"/>
          <w:caps w:val="false"/>
          <w:smallCaps w:val="false"/>
          <w:sz w:val="20"/>
        </w:rPr>
        <w:t>7.45%. The loan was paid in full and there was no outstanding balance as of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in connection with securing general liability insurance, the Company entered into a premium finance arrangement to extend the premium payment out for a period of 5 months. The Company paid a total of $</w:t>
      </w:r>
      <w:bookmarkStart w:id="381" w:name="xdx_904_eus-gaap--PaymentsForUnderwritin"/>
      <w:bookmarkEnd w:id="381"/>
      <w:r>
        <w:rPr>
          <w:rFonts w:ascii="Times New Roman;Times;Serif" w:hAnsi="Times New Roman;Times;Serif"/>
          <w:b w:val="false"/>
          <w:i w:val="false"/>
          <w:caps w:val="false"/>
          <w:smallCaps w:val="false"/>
          <w:sz w:val="20"/>
        </w:rPr>
        <w:t>14,000 up front toward the insurance premium and financed approximately $</w:t>
      </w:r>
      <w:bookmarkStart w:id="382" w:name="xdx_90C_eus-gaap--PaymentsToAcquireFinan"/>
      <w:bookmarkEnd w:id="382"/>
      <w:r>
        <w:rPr>
          <w:rFonts w:ascii="Times New Roman;Times;Serif" w:hAnsi="Times New Roman;Times;Serif"/>
          <w:b w:val="false"/>
          <w:i w:val="false"/>
          <w:caps w:val="false"/>
          <w:smallCaps w:val="false"/>
          <w:sz w:val="20"/>
        </w:rPr>
        <w:t xml:space="preserve">21,000. The Company will make 3 equal payments under the terms of the premium finance agreement. The premium finance agreement bears interest at an annual percentage rate of </w:t>
      </w:r>
      <w:bookmarkStart w:id="383" w:name="xdx_905_eus-gaap--DebtInstrumentInterest"/>
      <w:bookmarkEnd w:id="383"/>
      <w:r>
        <w:rPr>
          <w:rFonts w:ascii="Times New Roman;Times;Serif" w:hAnsi="Times New Roman;Times;Serif"/>
          <w:b w:val="false"/>
          <w:i w:val="false"/>
          <w:caps w:val="false"/>
          <w:smallCaps w:val="false"/>
          <w:sz w:val="20"/>
        </w:rPr>
        <w:t>11.15%. The loan was paid in full and there was no outstanding balance as of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in connection with securing Director and Officer professional liability insurance, the Company entered into a premium finance arrangement to extend the premium payment out for a period of 10 months. The Company paid a total of $</w:t>
      </w:r>
      <w:bookmarkStart w:id="384" w:name="xdx_906_ecustom--UpFrontInsurancePremium"/>
      <w:bookmarkEnd w:id="384"/>
      <w:r>
        <w:rPr>
          <w:rFonts w:ascii="Times New Roman;Times;Serif" w:hAnsi="Times New Roman;Times;Serif"/>
          <w:b w:val="false"/>
          <w:i w:val="false"/>
          <w:caps w:val="false"/>
          <w:smallCaps w:val="false"/>
          <w:sz w:val="20"/>
        </w:rPr>
        <w:t>40,000 up front toward the insurance premium and financed approximately $</w:t>
      </w:r>
      <w:bookmarkStart w:id="385" w:name="xdx_90E_ecustom--FinancedInsurancePremiu"/>
      <w:bookmarkEnd w:id="385"/>
      <w:r>
        <w:rPr>
          <w:rFonts w:ascii="Times New Roman;Times;Serif" w:hAnsi="Times New Roman;Times;Serif"/>
          <w:b w:val="false"/>
          <w:i w:val="false"/>
          <w:caps w:val="false"/>
          <w:smallCaps w:val="false"/>
          <w:sz w:val="20"/>
        </w:rPr>
        <w:t xml:space="preserve">118,000. The Company will make 10 equal payments under the terms of the premium finance agreement. The premium finance agreement bears interest at an annual percentage rate of </w:t>
      </w:r>
      <w:bookmarkStart w:id="386" w:name="xdx_90C_eus-gaap--DebtInstrumentInterest"/>
      <w:bookmarkEnd w:id="386"/>
      <w:r>
        <w:rPr>
          <w:rFonts w:ascii="Times New Roman;Times;Serif" w:hAnsi="Times New Roman;Times;Serif"/>
          <w:b w:val="false"/>
          <w:i w:val="false"/>
          <w:caps w:val="false"/>
          <w:smallCaps w:val="false"/>
          <w:sz w:val="20"/>
        </w:rPr>
        <w:t>9.39%. The outstanding balance totaled $</w:t>
      </w:r>
      <w:bookmarkStart w:id="387" w:name="xdx_901_eus-gaap--ShorttermDebtAverageOu"/>
      <w:bookmarkEnd w:id="387"/>
      <w:r>
        <w:rPr>
          <w:rFonts w:ascii="Times New Roman;Times;Serif" w:hAnsi="Times New Roman;Times;Serif"/>
          <w:b w:val="false"/>
          <w:i w:val="false"/>
          <w:caps w:val="false"/>
          <w:smallCaps w:val="false"/>
          <w:sz w:val="20"/>
        </w:rPr>
        <w:t>106,000 as of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88" w:name="xdx_800_eus-gaap--StockholdersEquityNote"/>
      <w:bookmarkEnd w:id="388"/>
      <w:r>
        <w:rPr>
          <w:rFonts w:ascii="Times New Roman;Times;Serif" w:hAnsi="Times New Roman;Times;Serif"/>
          <w:b/>
          <w:i w:val="false"/>
          <w:caps w:val="false"/>
          <w:smallCaps w:val="false"/>
          <w:sz w:val="20"/>
        </w:rPr>
        <w:t xml:space="preserve">9. </w:t>
      </w:r>
      <w:bookmarkStart w:id="389" w:name="xdx_826_z8OTgHdkj8ab"/>
      <w:bookmarkEnd w:id="389"/>
      <w:r>
        <w:rPr>
          <w:rFonts w:ascii="Times New Roman;Times;Serif" w:hAnsi="Times New Roman;Times;Serif"/>
          <w:b/>
          <w:i w:val="false"/>
          <w:caps w:val="false"/>
          <w:smallCaps w:val="false"/>
          <w:sz w:val="20"/>
        </w:rPr>
        <w:t>Equity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ATM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the Company entered into an At The Market Offering Agreement (the “2025 ATM Agreement”) with H.C. Wainwright &amp; Co., LLC, as sales agent (“Wainwright”), to sell shares of its common stock, par value $</w:t>
      </w:r>
      <w:bookmarkStart w:id="390" w:name="xdx_901_eus-gaap--CommonStockParOrStated"/>
      <w:bookmarkEnd w:id="390"/>
      <w:r>
        <w:rPr>
          <w:rFonts w:ascii="Times New Roman;Times;Serif" w:hAnsi="Times New Roman;Times;Serif"/>
          <w:b w:val="false"/>
          <w:i w:val="false"/>
          <w:caps w:val="false"/>
          <w:smallCaps w:val="false"/>
          <w:sz w:val="20"/>
        </w:rPr>
        <w:t>0.01 per share (the “2025 ATM Shares”) from time to time, through an “at the market offering” program under which Wainwright will act as sales agent. The sales, if any, of the 2025 ATM Shares made under the 2025 ATM Agreement will be made by any method permitted by law deemed to be an “at the market offering” as defined in Rule 415 promulgated under the Securities Act of 1933, as amended, including, without limitation, sales made directly on or through the Nasdaq Capital Market or on any other existing trading market for the Company’s common stock. The 2025 ATM Shares will be issued pursuant to the Company’s shelf registration statement on Form S-3 (File No. 333-274951) initially filed by the Company with the SEC on October 12, 2023, and declared effective by the SEC on November 27, 2023, and related prospectus supplements to be prepared and filed pursuant to Rule 424(b) from time to time in connection with the offer and sale of the Shares. A prospectus supplement, dated October 3, 2025, covering the offer and sale of the 2025 ATM Shares having an aggregate offering price of $</w:t>
      </w:r>
      <w:bookmarkStart w:id="391" w:name="xdx_903_eus-gaap--SaleOfStockConsiderati"/>
      <w:bookmarkEnd w:id="391"/>
      <w:r>
        <w:rPr>
          <w:rFonts w:ascii="Times New Roman;Times;Serif" w:hAnsi="Times New Roman;Times;Serif"/>
          <w:b w:val="false"/>
          <w:i w:val="false"/>
          <w:caps w:val="false"/>
          <w:smallCaps w:val="false"/>
          <w:sz w:val="20"/>
        </w:rPr>
        <w:t xml:space="preserve">6,413,876 was filed with the SEC. As of March 31, 2026, </w:t>
      </w:r>
      <w:bookmarkStart w:id="392" w:name="xdx_90E_eus-gaap--SaleOfStockConsiderati"/>
      <w:bookmarkEnd w:id="392"/>
      <w:r>
        <w:rPr>
          <w:rFonts w:ascii="Times New Roman;Times;Serif" w:hAnsi="Times New Roman;Times;Serif"/>
          <w:b w:val="false"/>
          <w:i w:val="false"/>
          <w:caps w:val="false"/>
          <w:smallCaps w:val="false"/>
          <w:sz w:val="20"/>
        </w:rPr>
        <w:t>188,380 shares have been sold under the 2025 ATM Agreement for gross proceeds of $</w:t>
      </w:r>
      <w:bookmarkStart w:id="393" w:name="xdx_900_ecustom--SaleOfStockInRemainingA"/>
      <w:bookmarkEnd w:id="393"/>
      <w:r>
        <w:rPr>
          <w:rFonts w:ascii="Times New Roman;Times;Serif" w:hAnsi="Times New Roman;Times;Serif"/>
          <w:b w:val="false"/>
          <w:i w:val="false"/>
          <w:caps w:val="false"/>
          <w:smallCaps w:val="false"/>
          <w:sz w:val="20"/>
        </w:rPr>
        <w:t>0.7 million, and there is $</w:t>
      </w:r>
      <w:bookmarkStart w:id="394" w:name="xdx_902_eus-gaap--SaleOfStockConsiderati"/>
      <w:bookmarkEnd w:id="394"/>
      <w:r>
        <w:rPr>
          <w:rFonts w:ascii="Times New Roman;Times;Serif" w:hAnsi="Times New Roman;Times;Serif"/>
          <w:b w:val="false"/>
          <w:i w:val="false"/>
          <w:caps w:val="false"/>
          <w:smallCaps w:val="false"/>
          <w:sz w:val="20"/>
        </w:rPr>
        <w:t>5.7 million capacity remaining under the 2025 ATM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Warrant Inducement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entered into an inducement agreement (the “Inducement Letter”) with certain holders of the Company’s outstanding common stock purchase warrants. Pursuant to the Inducement Letter, the holders agreed to exercise for cash existing warrants to purchase an aggregate of 1,099,431 shares of the Company’s common stock at an exercise price of $3.32 per share in consideration of the Company’s agreement to issue new common stock purchase warrants to purchase up to an aggregate of 1,649,147 shares of the Company’s common stock at an exercise price of $4.79 per share. The warrant holders paid $0.125 per new warrant as consideration for the issuance of the new warrants. The Company received aggregate gross proceeds of approximately $3.8 million from the exercise of the existing warrants, before deducting placement agent fees and other offering expenses payable by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warrant on the issuance date using the Black-Scholes-Merton valuation model. The aggregate fair value of the new warrants issued as part of the inducement was $6.7 million, which is presented as a deemed dividend on the condensed consolidated statements of operations and the condensed consolidated statements of stockholders’ equity (during the three months ended September 30,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Capital Raise and Registration of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entered into a Securities Purchase Agreement (the “Purchase Agreement”) under which it sold securities to certain institutional and accredited investors for aggregate gross proceeds of $5.0 million, before deducting fees to the placement agent and other expenses payable by the Company in connection with the private placement. In the transaction, the Company issued (i) 1,171,189 shares of the Company’s common stock, (ii) pre-funded warrants to purchase 278,098 shares of common stock (the “Pre-Funded Warrants”) with an exercise price of $0.0001 per share, and (iii) warrants to purchase 1,449,287 shares of common stock (the “Common Warrants”) with an exercise price of $3.32 per share. The purchase price per share of common stock and the associated Common Warrant was $3.45 and the purchase price per Pre-Funded Warrant and associated Common Warrant was $3.4499. The Common Warrants were exercisable immediately and expire five-and one-half years from issuance. The Pre-Funded Warrants were exercisable immediately and remain outstanding until exercised in full. The Company filed a Registration Statement on Form S-3 registering the resale of the above-mentioned securities, which was declared effective by the SEC on March 27, 2025.</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95" w:name="xdx_80F_eus-gaap--DisclosureOfCompensati"/>
      <w:bookmarkEnd w:id="395"/>
      <w:r>
        <w:rPr>
          <w:rFonts w:ascii="Times New Roman;Times;Serif" w:hAnsi="Times New Roman;Times;Serif"/>
          <w:b/>
          <w:i w:val="false"/>
          <w:caps w:val="false"/>
          <w:smallCaps w:val="false"/>
          <w:sz w:val="20"/>
        </w:rPr>
        <w:t xml:space="preserve">10. </w:t>
      </w:r>
      <w:bookmarkStart w:id="396" w:name="xdx_82D_z323mJADfb7i"/>
      <w:bookmarkEnd w:id="396"/>
      <w:r>
        <w:rPr>
          <w:rFonts w:ascii="Times New Roman;Times;Serif" w:hAnsi="Times New Roman;Times;Serif"/>
          <w:b/>
          <w:i w:val="false"/>
          <w:caps w:val="false"/>
          <w:smallCaps w:val="false"/>
          <w:sz w:val="20"/>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397" w:name="xdx_89C_eus-gaap--ScheduleOfNonvestedRes"/>
      <w:bookmarkEnd w:id="397"/>
      <w:r>
        <w:rPr>
          <w:rFonts w:ascii="Times New Roman;Times;Serif" w:hAnsi="Times New Roman;Times;Serif"/>
          <w:b w:val="false"/>
          <w:i w:val="false"/>
          <w:caps w:val="false"/>
          <w:smallCaps w:val="false"/>
          <w:sz w:val="20"/>
        </w:rPr>
        <w:t>A summary of the Company’s outstanding restricted stock unit activity for the three months ended March 31, 2026, and 2025 is as follows:</w:t>
      </w:r>
    </w:p>
    <w:p>
      <w:pPr>
        <w:pStyle w:val="TextBody"/>
        <w:bidi w:val="0"/>
        <w:jc w:val="both"/>
        <w:rPr>
          <w:caps w:val="false"/>
          <w:smallCaps w:val="false"/>
        </w:rPr>
      </w:pPr>
      <w:bookmarkStart w:id="398" w:name="xdx_8BD_zvprO1JhwpE2"/>
      <w:bookmarkEnd w:id="398"/>
      <w:r>
        <w:rPr>
          <w:caps w:val="false"/>
          <w:smallCaps w:val="false"/>
        </w:rPr>
        <w:t> </w:t>
      </w:r>
      <w:r>
        <w:rPr>
          <w:rFonts w:ascii="Times New Roman;Times;Serif" w:hAnsi="Times New Roman;Times;Serif"/>
          <w:b w:val="false"/>
          <w:i w:val="false"/>
          <w:caps w:val="false"/>
          <w:smallCaps w:val="false"/>
          <w:sz w:val="20"/>
        </w:rPr>
        <w:t xml:space="preserve">Schedule of Restricted Stock </w:t>
      </w:r>
    </w:p>
    <w:tbl>
      <w:tblPr>
        <w:tblW w:w="6724" w:type="dxa"/>
        <w:jc w:val="left"/>
        <w:tblInd w:w="0" w:type="dxa"/>
        <w:tblLayout w:type="fixed"/>
        <w:tblCellMar>
          <w:top w:w="0" w:type="dxa"/>
          <w:left w:w="0" w:type="dxa"/>
          <w:bottom w:w="0" w:type="dxa"/>
          <w:right w:w="0" w:type="dxa"/>
        </w:tblCellMar>
      </w:tblPr>
      <w:tblGrid>
        <w:gridCol w:w="2075"/>
        <w:gridCol w:w="60"/>
        <w:gridCol w:w="60"/>
        <w:gridCol w:w="755"/>
        <w:gridCol w:w="80"/>
        <w:gridCol w:w="60"/>
        <w:gridCol w:w="880"/>
        <w:gridCol w:w="2679"/>
        <w:gridCol w:w="75"/>
      </w:tblGrid>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Weighted-Average Grant Date Fair Value</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9" w:name="xdx_986_eus-gaap--ShareBasedCompensation"/>
            <w:bookmarkEnd w:id="399"/>
          </w:p>
        </w:tc>
        <w:tc>
          <w:tcPr>
            <w:tcW w:w="755" w:type="dxa"/>
            <w:tcBorders/>
            <w:shd w:fill="CCEEFF" w:val="clear"/>
            <w:vAlign w:val="center"/>
          </w:tcPr>
          <w:p>
            <w:pPr>
              <w:pStyle w:val="TableContents"/>
              <w:bidi w:val="0"/>
              <w:spacing w:before="0" w:after="283"/>
              <w:jc w:val="right"/>
              <w:rPr>
                <w:sz w:val="20"/>
              </w:rPr>
            </w:pPr>
            <w:r>
              <w:rPr>
                <w:sz w:val="20"/>
              </w:rPr>
              <w:t>422,334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sz w:val="20"/>
              </w:rPr>
            </w:pPr>
            <w:r>
              <w:rPr>
                <w:sz w:val="20"/>
              </w:rPr>
              <w:t>$</w:t>
            </w:r>
          </w:p>
        </w:tc>
        <w:tc>
          <w:tcPr>
            <w:tcW w:w="2679" w:type="dxa"/>
            <w:tcBorders/>
            <w:shd w:fill="CCEEFF" w:val="clear"/>
            <w:vAlign w:val="center"/>
          </w:tcPr>
          <w:p>
            <w:pPr>
              <w:pStyle w:val="TableContents"/>
              <w:bidi w:val="0"/>
              <w:spacing w:before="0" w:after="283"/>
              <w:jc w:val="right"/>
              <w:rPr>
                <w:sz w:val="20"/>
              </w:rPr>
            </w:pPr>
            <w:bookmarkStart w:id="400" w:name="xdx_900_eus-gaap--ShareBasedCompensation"/>
            <w:bookmarkEnd w:id="400"/>
            <w:r>
              <w:rPr>
                <w:sz w:val="20"/>
              </w:rPr>
              <w:t>4.39</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01" w:name="xdx_983_eus-gaap--ShareBasedCompensation"/>
            <w:bookmarkEnd w:id="401"/>
          </w:p>
        </w:tc>
        <w:tc>
          <w:tcPr>
            <w:tcW w:w="755" w:type="dxa"/>
            <w:tcBorders/>
            <w:shd w:fill="FFFFFF" w:val="clear"/>
            <w:vAlign w:val="center"/>
          </w:tcPr>
          <w:p>
            <w:pPr>
              <w:pStyle w:val="TableContents"/>
              <w:bidi w:val="0"/>
              <w:spacing w:before="0" w:after="283"/>
              <w:jc w:val="right"/>
              <w:rPr>
                <w:sz w:val="20"/>
              </w:rPr>
            </w:pPr>
            <w:r>
              <w:rPr>
                <w:sz w:val="20"/>
              </w:rPr>
              <w:t>511,393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2679" w:type="dxa"/>
            <w:tcBorders/>
            <w:shd w:fill="FFFFFF" w:val="clear"/>
            <w:vAlign w:val="center"/>
          </w:tcPr>
          <w:p>
            <w:pPr>
              <w:pStyle w:val="TableContents"/>
              <w:bidi w:val="0"/>
              <w:spacing w:before="0" w:after="283"/>
              <w:jc w:val="right"/>
              <w:rPr>
                <w:sz w:val="20"/>
              </w:rPr>
            </w:pPr>
            <w:bookmarkStart w:id="402" w:name="xdx_902_eus-gaap--ShareBasedCompensation"/>
            <w:bookmarkEnd w:id="402"/>
            <w:r>
              <w:rPr>
                <w:sz w:val="20"/>
              </w:rPr>
              <w:t>2.91</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3" w:name="xdx_985_eus-gaap--ShareBasedCompensation"/>
            <w:bookmarkEnd w:id="403"/>
          </w:p>
        </w:tc>
        <w:tc>
          <w:tcPr>
            <w:tcW w:w="755" w:type="dxa"/>
            <w:tcBorders/>
            <w:shd w:fill="CCEEFF" w:val="clear"/>
            <w:vAlign w:val="center"/>
          </w:tcPr>
          <w:p>
            <w:pPr>
              <w:pStyle w:val="TableContents"/>
              <w:bidi w:val="0"/>
              <w:spacing w:before="0" w:after="283"/>
              <w:jc w:val="right"/>
              <w:rPr>
                <w:sz w:val="20"/>
              </w:rPr>
            </w:pPr>
            <w:r>
              <w:rPr>
                <w:sz w:val="20"/>
              </w:rPr>
              <w:t>(41,999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2679" w:type="dxa"/>
            <w:tcBorders/>
            <w:shd w:fill="CCEEFF" w:val="clear"/>
            <w:vAlign w:val="center"/>
          </w:tcPr>
          <w:p>
            <w:pPr>
              <w:pStyle w:val="TableContents"/>
              <w:bidi w:val="0"/>
              <w:spacing w:before="0" w:after="283"/>
              <w:jc w:val="right"/>
              <w:rPr>
                <w:sz w:val="20"/>
              </w:rPr>
            </w:pPr>
            <w:bookmarkStart w:id="404" w:name="xdx_903_eus-gaap--ShareBasedCompensation"/>
            <w:bookmarkEnd w:id="404"/>
            <w:r>
              <w:rPr>
                <w:sz w:val="20"/>
              </w:rPr>
              <w:t>3.85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sz w:val="20"/>
              </w:rPr>
            </w:pPr>
            <w:r>
              <w:rPr>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5" w:name="xdx_986_eus-gaap--ShareBasedCompensation"/>
            <w:bookmarkEnd w:id="405"/>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(106,452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406" w:name="xdx_904_eus-gaap--ShareBasedCompensation"/>
            <w:bookmarkEnd w:id="406"/>
            <w:r>
              <w:rPr>
                <w:sz w:val="20"/>
              </w:rPr>
              <w:t>3.70</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07" w:name="xdx_987_eus-gaap--ShareBasedCompensation"/>
            <w:bookmarkEnd w:id="407"/>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785,276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267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408" w:name="xdx_903_eus-gaap--ShareBasedCompensation"/>
            <w:bookmarkEnd w:id="408"/>
            <w:r>
              <w:rPr>
                <w:sz w:val="20"/>
              </w:rPr>
              <w:t>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6619" w:type="dxa"/>
        <w:jc w:val="left"/>
        <w:tblInd w:w="0" w:type="dxa"/>
        <w:tblLayout w:type="fixed"/>
        <w:tblCellMar>
          <w:top w:w="0" w:type="dxa"/>
          <w:left w:w="0" w:type="dxa"/>
          <w:bottom w:w="0" w:type="dxa"/>
          <w:right w:w="0" w:type="dxa"/>
        </w:tblCellMar>
      </w:tblPr>
      <w:tblGrid>
        <w:gridCol w:w="2075"/>
        <w:gridCol w:w="60"/>
        <w:gridCol w:w="60"/>
        <w:gridCol w:w="650"/>
        <w:gridCol w:w="80"/>
        <w:gridCol w:w="60"/>
        <w:gridCol w:w="512"/>
        <w:gridCol w:w="3047"/>
        <w:gridCol w:w="75"/>
      </w:tblGrid>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Weighted-Average Grant Date Fair Value</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9" w:name="xdx_981_eus-gaap--ShareBasedCompensation"/>
            <w:bookmarkEnd w:id="409"/>
          </w:p>
        </w:tc>
        <w:tc>
          <w:tcPr>
            <w:tcW w:w="650" w:type="dxa"/>
            <w:tcBorders/>
            <w:shd w:fill="CCEEFF" w:val="clear"/>
            <w:vAlign w:val="center"/>
          </w:tcPr>
          <w:p>
            <w:pPr>
              <w:pStyle w:val="TableContents"/>
              <w:bidi w:val="0"/>
              <w:spacing w:before="0" w:after="283"/>
              <w:jc w:val="right"/>
              <w:rPr>
                <w:sz w:val="20"/>
              </w:rPr>
            </w:pPr>
            <w:r>
              <w:rPr>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sz w:val="20"/>
              </w:rPr>
            </w:pPr>
            <w:r>
              <w:rPr>
                <w:sz w:val="20"/>
              </w:rPr>
              <w:t>$</w:t>
            </w:r>
          </w:p>
        </w:tc>
        <w:tc>
          <w:tcPr>
            <w:tcW w:w="3047" w:type="dxa"/>
            <w:tcBorders/>
            <w:shd w:fill="CCEEFF" w:val="clear"/>
            <w:vAlign w:val="center"/>
          </w:tcPr>
          <w:p>
            <w:pPr>
              <w:pStyle w:val="TableContents"/>
              <w:bidi w:val="0"/>
              <w:spacing w:before="0" w:after="283"/>
              <w:jc w:val="right"/>
              <w:rPr>
                <w:sz w:val="20"/>
              </w:rPr>
            </w:pPr>
            <w:bookmarkStart w:id="410" w:name="xdx_90F_eus-gaap--ShareBasedCompensation"/>
            <w:bookmarkEnd w:id="410"/>
            <w:r>
              <w:rPr>
                <w:sz w:val="20"/>
              </w:rPr>
              <w:t>2,672.35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1" w:name="xdx_98C_eus-gaap--ShareBasedCompensation"/>
            <w:bookmarkEnd w:id="411"/>
          </w:p>
        </w:tc>
        <w:tc>
          <w:tcPr>
            <w:tcW w:w="650" w:type="dxa"/>
            <w:tcBorders/>
            <w:shd w:fill="FFFFFF" w:val="clear"/>
            <w:vAlign w:val="center"/>
          </w:tcPr>
          <w:p>
            <w:pPr>
              <w:pStyle w:val="TableContents"/>
              <w:bidi w:val="0"/>
              <w:spacing w:before="0" w:after="283"/>
              <w:jc w:val="right"/>
              <w:rPr>
                <w:sz w:val="20"/>
              </w:rPr>
            </w:pPr>
            <w:r>
              <w:rPr>
                <w:sz w:val="20"/>
              </w:rPr>
              <w:t>50,500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047" w:type="dxa"/>
            <w:tcBorders/>
            <w:shd w:fill="FFFFFF" w:val="clear"/>
            <w:vAlign w:val="center"/>
          </w:tcPr>
          <w:p>
            <w:pPr>
              <w:pStyle w:val="TableContents"/>
              <w:bidi w:val="0"/>
              <w:spacing w:before="0" w:after="283"/>
              <w:jc w:val="right"/>
              <w:rPr>
                <w:sz w:val="20"/>
              </w:rPr>
            </w:pPr>
            <w:bookmarkStart w:id="412" w:name="xdx_90E_eus-gaap--ShareBasedCompensation"/>
            <w:bookmarkEnd w:id="412"/>
            <w:r>
              <w:rPr>
                <w:sz w:val="20"/>
              </w:rPr>
              <w:t>3.18</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3" w:name="xdx_984_eus-gaap--ShareBasedCompensation"/>
            <w:bookmarkEnd w:id="413"/>
          </w:p>
        </w:tc>
        <w:tc>
          <w:tcPr>
            <w:tcW w:w="650" w:type="dxa"/>
            <w:tcBorders/>
            <w:shd w:fill="CCEEFF" w:val="clear"/>
            <w:vAlign w:val="center"/>
          </w:tcPr>
          <w:p>
            <w:pPr>
              <w:pStyle w:val="TableContents"/>
              <w:bidi w:val="0"/>
              <w:spacing w:before="0" w:after="283"/>
              <w:jc w:val="right"/>
              <w:rPr>
                <w:sz w:val="20"/>
              </w:rPr>
            </w:pPr>
            <w:r>
              <w:rPr>
                <w:sz w:val="20"/>
              </w:rPr>
              <w:t>(3,336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047" w:type="dxa"/>
            <w:tcBorders/>
            <w:shd w:fill="CCEEFF" w:val="clear"/>
            <w:vAlign w:val="center"/>
          </w:tcPr>
          <w:p>
            <w:pPr>
              <w:pStyle w:val="TableContents"/>
              <w:bidi w:val="0"/>
              <w:spacing w:before="0" w:after="283"/>
              <w:jc w:val="right"/>
              <w:rPr>
                <w:sz w:val="20"/>
              </w:rPr>
            </w:pPr>
            <w:bookmarkStart w:id="414" w:name="xdx_90E_eus-gaap--ShareBasedCompensation"/>
            <w:bookmarkEnd w:id="414"/>
            <w:r>
              <w:rPr>
                <w:sz w:val="20"/>
              </w:rPr>
              <w:t>3.18</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sz w:val="20"/>
              </w:rPr>
            </w:pPr>
            <w:r>
              <w:rPr>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5" w:name="xdx_98A_eus-gaap--ShareBasedCompensation"/>
            <w:bookmarkEnd w:id="415"/>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(13,540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416" w:name="xdx_90E_eus-gaap--ShareBasedCompensation"/>
            <w:bookmarkEnd w:id="416"/>
            <w:r>
              <w:rPr>
                <w:sz w:val="20"/>
              </w:rPr>
              <w:t>3.18</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17" w:name="xdx_98B_eus-gaap--ShareBasedCompensation"/>
            <w:bookmarkEnd w:id="417"/>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04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418" w:name="xdx_90D_eus-gaap--ShareBasedCompensation"/>
            <w:bookmarkEnd w:id="418"/>
            <w:r>
              <w:rPr>
                <w:sz w:val="20"/>
              </w:rPr>
              <w:t>5.80</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19" w:name="xdx_8A4_zCtJFJvYevwe"/>
      <w:bookmarkEnd w:id="41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20" w:name="xdx_89A_eus-gaap--ScheduleOfShareBasedCo"/>
      <w:bookmarkEnd w:id="420"/>
      <w:r>
        <w:rPr>
          <w:rFonts w:ascii="Times New Roman;Times;Serif" w:hAnsi="Times New Roman;Times;Serif"/>
          <w:b w:val="false"/>
          <w:i w:val="false"/>
          <w:caps w:val="false"/>
          <w:smallCaps w:val="false"/>
          <w:sz w:val="20"/>
        </w:rPr>
        <w:t>A summary of the Company’s outstanding stock option activity for the three months ended March 31, 2026, and 2025 is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bookmarkStart w:id="421" w:name="xdx_8B4_zA6VU9C2NaOg"/>
      <w:bookmarkEnd w:id="421"/>
      <w:r>
        <w:rPr>
          <w:rFonts w:ascii="Times New Roman;Times;Serif" w:hAnsi="Times New Roman;Times;Serif"/>
          <w:b w:val="false"/>
          <w:i w:val="false"/>
          <w:caps w:val="false"/>
          <w:smallCaps w:val="false"/>
          <w:sz w:val="20"/>
        </w:rPr>
        <w:t>Schedule of Stock Option Activity</w:t>
      </w:r>
    </w:p>
    <w:tbl>
      <w:tblPr>
        <w:tblW w:w="8579" w:type="dxa"/>
        <w:jc w:val="left"/>
        <w:tblInd w:w="0" w:type="dxa"/>
        <w:tblLayout w:type="fixed"/>
        <w:tblCellMar>
          <w:top w:w="0" w:type="dxa"/>
          <w:left w:w="0" w:type="dxa"/>
          <w:bottom w:w="0" w:type="dxa"/>
          <w:right w:w="0" w:type="dxa"/>
        </w:tblCellMar>
      </w:tblPr>
      <w:tblGrid>
        <w:gridCol w:w="4475"/>
        <w:gridCol w:w="60"/>
        <w:gridCol w:w="60"/>
        <w:gridCol w:w="800"/>
        <w:gridCol w:w="60"/>
        <w:gridCol w:w="60"/>
        <w:gridCol w:w="214"/>
        <w:gridCol w:w="675"/>
        <w:gridCol w:w="60"/>
        <w:gridCol w:w="60"/>
        <w:gridCol w:w="164"/>
        <w:gridCol w:w="876"/>
        <w:gridCol w:w="60"/>
        <w:gridCol w:w="60"/>
        <w:gridCol w:w="140"/>
        <w:gridCol w:w="68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jc w:val="center"/>
              <w:rPr>
                <w:b/>
              </w:rPr>
            </w:pPr>
            <w:r>
              <w:rPr>
                <w:b/>
              </w:rPr>
              <w:t>Exercise</w:t>
            </w:r>
          </w:p>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2" w:name="xdx_98C_eus-gaap--ShareBasedCompensation"/>
            <w:bookmarkEnd w:id="422"/>
          </w:p>
        </w:tc>
        <w:tc>
          <w:tcPr>
            <w:tcW w:w="800" w:type="dxa"/>
            <w:tcBorders/>
            <w:shd w:fill="CCEEFF" w:val="clear"/>
            <w:vAlign w:val="center"/>
          </w:tcPr>
          <w:p>
            <w:pPr>
              <w:pStyle w:val="TableContents"/>
              <w:bidi w:val="0"/>
              <w:spacing w:before="0" w:after="283"/>
              <w:jc w:val="right"/>
              <w:rPr/>
            </w:pPr>
            <w:r>
              <w:rPr/>
              <w:t>170,026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423" w:name="xdx_983_eus-gaap--ShareBasedCompensation"/>
            <w:bookmarkEnd w:id="423"/>
          </w:p>
        </w:tc>
        <w:tc>
          <w:tcPr>
            <w:tcW w:w="675" w:type="dxa"/>
            <w:tcBorders/>
            <w:shd w:fill="CCEEFF" w:val="cle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424" w:name="xdx_906_eus-gaap--SharebasedCompensation"/>
            <w:bookmarkEnd w:id="424"/>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25" w:name="xdx_98E_eus-gaap--ShareBasedCompensation"/>
            <w:bookmarkEnd w:id="425"/>
          </w:p>
        </w:tc>
        <w:tc>
          <w:tcPr>
            <w:tcW w:w="680" w:type="dxa"/>
            <w:tcBorders/>
            <w:shd w:fill="CCEEFF" w:val="clear"/>
            <w:vAlign w:val="center"/>
          </w:tcPr>
          <w:p>
            <w:pPr>
              <w:pStyle w:val="TableContents"/>
              <w:bidi w:val="0"/>
              <w:spacing w:before="0" w:after="283"/>
              <w:jc w:val="right"/>
              <w:rPr/>
            </w:pPr>
            <w:r>
              <w:rPr/>
              <w:t>77,600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6" w:name="xdx_982_eus-gaap--ShareBasedCompensation"/>
            <w:bookmarkEnd w:id="426"/>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427" w:name="xdx_98D_eus-gaap--ShareBasedCompensation"/>
            <w:bookmarkEnd w:id="427"/>
          </w:p>
        </w:tc>
        <w:tc>
          <w:tcPr>
            <w:tcW w:w="6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8" w:name="xdx_98B_eus-gaap--StockIssuedDuringPerio"/>
            <w:bookmarkEnd w:id="428"/>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429" w:name="xdx_985_eus-gaap--ShareBasedCompensation"/>
            <w:bookmarkEnd w:id="429"/>
          </w:p>
        </w:tc>
        <w:tc>
          <w:tcPr>
            <w:tcW w:w="6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30" w:name="xdx_981_eus-gaap--ShareBasedCompensation"/>
            <w:bookmarkEnd w:id="430"/>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431" w:name="xdx_984_eus-gaap--ShareBasedCompensation"/>
            <w:bookmarkEnd w:id="431"/>
          </w:p>
        </w:tc>
        <w:tc>
          <w:tcPr>
            <w:tcW w:w="6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2" w:name="xdx_983_eus-gaap--ShareBasedCompensation"/>
            <w:bookmarkEnd w:id="432"/>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3" w:name="xdx_98D_eus-gaap--ShareBasedCompensation"/>
            <w:bookmarkEnd w:id="433"/>
          </w:p>
        </w:tc>
        <w:tc>
          <w:tcPr>
            <w:tcW w:w="6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4" w:name="xdx_982_eus-gaap--ShareBasedCompensation"/>
            <w:bookmarkEnd w:id="43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170,026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5" w:name="xdx_982_eus-gaap--ShareBasedCompensation"/>
            <w:bookmarkEnd w:id="435"/>
          </w:p>
        </w:tc>
        <w:tc>
          <w:tcPr>
            <w:tcW w:w="675" w:type="dxa"/>
            <w:tcBorders>
              <w:bottom w:val="double" w:sz="6" w:space="0" w:color="000000"/>
            </w:tcBorders>
            <w:shd w:fill="FFFFFF" w:val="clear"/>
            <w:tcMar>
              <w:bottom w:w="28" w:type="dxa"/>
            </w:tcMar>
            <w:vAlign w:val="center"/>
          </w:tcPr>
          <w:p>
            <w:pPr>
              <w:pStyle w:val="TableContents"/>
              <w:bidi w:val="0"/>
              <w:spacing w:before="0" w:after="283"/>
              <w:jc w:val="right"/>
              <w:rPr/>
            </w:pPr>
            <w:r>
              <w:rPr/>
              <w:t>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36" w:name="xdx_90A_eus-gaap--SharebasedCompensation"/>
            <w:bookmarkEnd w:id="436"/>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7" w:name="xdx_984_eus-gaap--ShareBasedCompensation"/>
            <w:bookmarkEnd w:id="437"/>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Exercisable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38" w:name="xdx_98A_eus-gaap--ShareBasedCompensation"/>
            <w:bookmarkEnd w:id="438"/>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170,026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39" w:name="xdx_98E_eus-gaap--ShareBasedCompensation"/>
            <w:bookmarkEnd w:id="439"/>
          </w:p>
        </w:tc>
        <w:tc>
          <w:tcPr>
            <w:tcW w:w="675" w:type="dxa"/>
            <w:tcBorders>
              <w:bottom w:val="double" w:sz="6" w:space="0" w:color="000000"/>
            </w:tcBorders>
            <w:shd w:fill="CCEEFF" w:val="clear"/>
            <w:tcMar>
              <w:bottom w:w="28" w:type="dxa"/>
            </w:tcM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40" w:name="xdx_901_eus-gaap--SharebasedCompensation"/>
            <w:bookmarkEnd w:id="440"/>
            <w:r>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1" w:name="xdx_983_eus-gaap--SharebasedCompensation"/>
            <w:bookmarkEnd w:id="441"/>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Vested and expected to vest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42" w:name="xdx_98F_eus-gaap--ShareBasedCompensation"/>
            <w:bookmarkEnd w:id="44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170,026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3" w:name="xdx_98D_eus-gaap--ShareBasedCompensation"/>
            <w:bookmarkEnd w:id="443"/>
          </w:p>
        </w:tc>
        <w:tc>
          <w:tcPr>
            <w:tcW w:w="675" w:type="dxa"/>
            <w:tcBorders>
              <w:bottom w:val="double" w:sz="6" w:space="0" w:color="000000"/>
            </w:tcBorders>
            <w:shd w:fill="FFFFFF" w:val="clear"/>
            <w:tcMar>
              <w:bottom w:w="28" w:type="dxa"/>
            </w:tcMar>
            <w:vAlign w:val="center"/>
          </w:tcPr>
          <w:p>
            <w:pPr>
              <w:pStyle w:val="TableContents"/>
              <w:bidi w:val="0"/>
              <w:spacing w:before="0" w:after="283"/>
              <w:jc w:val="right"/>
              <w:rPr/>
            </w:pPr>
            <w:r>
              <w:rPr/>
              <w:t>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44" w:name="xdx_90F_eus-gaap--SharebasedCompensation"/>
            <w:bookmarkEnd w:id="444"/>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5" w:name="xdx_98D_eus-gaap--ShareBasedCompensation"/>
            <w:bookmarkEnd w:id="44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8840" w:type="dxa"/>
        <w:jc w:val="left"/>
        <w:tblInd w:w="0" w:type="dxa"/>
        <w:tblLayout w:type="fixed"/>
        <w:tblCellMar>
          <w:top w:w="0" w:type="dxa"/>
          <w:left w:w="0" w:type="dxa"/>
          <w:bottom w:w="0" w:type="dxa"/>
          <w:right w:w="0" w:type="dxa"/>
        </w:tblCellMar>
      </w:tblPr>
      <w:tblGrid>
        <w:gridCol w:w="4475"/>
        <w:gridCol w:w="60"/>
        <w:gridCol w:w="66"/>
        <w:gridCol w:w="749"/>
        <w:gridCol w:w="95"/>
        <w:gridCol w:w="60"/>
        <w:gridCol w:w="140"/>
        <w:gridCol w:w="1100"/>
        <w:gridCol w:w="60"/>
        <w:gridCol w:w="60"/>
        <w:gridCol w:w="124"/>
        <w:gridCol w:w="916"/>
        <w:gridCol w:w="60"/>
        <w:gridCol w:w="60"/>
        <w:gridCol w:w="440"/>
        <w:gridCol w:w="30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jc w:val="center"/>
              <w:rPr>
                <w:b/>
              </w:rPr>
            </w:pPr>
            <w:r>
              <w:rPr>
                <w:b/>
              </w:rPr>
              <w:t>Exercise</w:t>
            </w:r>
          </w:p>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As of December 31, 2024</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446" w:name="xdx_989_eus-gaap--ShareBasedCompensation"/>
            <w:bookmarkEnd w:id="446"/>
          </w:p>
        </w:tc>
        <w:tc>
          <w:tcPr>
            <w:tcW w:w="749"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47" w:name="xdx_98F_eus-gaap--ShareBasedCompensation"/>
            <w:bookmarkEnd w:id="447"/>
          </w:p>
        </w:tc>
        <w:tc>
          <w:tcPr>
            <w:tcW w:w="1100" w:type="dxa"/>
            <w:tcBorders/>
            <w:shd w:fill="CCEEFF" w:val="clear"/>
            <w:vAlign w:val="center"/>
          </w:tcPr>
          <w:p>
            <w:pPr>
              <w:pStyle w:val="TableContents"/>
              <w:bidi w:val="0"/>
              <w:spacing w:before="0" w:after="283"/>
              <w:jc w:val="right"/>
              <w:rPr/>
            </w:pPr>
            <w:r>
              <w:rPr/>
              <w:t>18,872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bookmarkStart w:id="448" w:name="xdx_90C_eus-gaap--SharebasedCompensation"/>
            <w:bookmarkEnd w:id="448"/>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w:t>
            </w:r>
            <w:bookmarkStart w:id="449" w:name="xdx_983_eus-gaap--ShareBasedCompensation"/>
            <w:bookmarkEnd w:id="449"/>
          </w:p>
        </w:tc>
        <w:tc>
          <w:tcPr>
            <w:tcW w:w="3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450" w:name="xdx_986_eus-gaap--ShareBasedCompensation"/>
            <w:bookmarkEnd w:id="450"/>
          </w:p>
        </w:tc>
        <w:tc>
          <w:tcPr>
            <w:tcW w:w="749" w:type="dxa"/>
            <w:tcBorders/>
            <w:shd w:fill="FFFFFF" w:val="clear"/>
            <w:vAlign w:val="center"/>
          </w:tcPr>
          <w:p>
            <w:pPr>
              <w:pStyle w:val="TableContents"/>
              <w:bidi w:val="0"/>
              <w:spacing w:before="0" w:after="283"/>
              <w:jc w:val="right"/>
              <w:rPr/>
            </w:pPr>
            <w:r>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1" w:name="xdx_982_eus-gaap--ShareBasedCompensation"/>
            <w:bookmarkEnd w:id="451"/>
          </w:p>
        </w:tc>
        <w:tc>
          <w:tcPr>
            <w:tcW w:w="1100" w:type="dxa"/>
            <w:tcBorders/>
            <w:shd w:fill="FFFFFF" w:val="clear"/>
            <w:vAlign w:val="center"/>
          </w:tcPr>
          <w:p>
            <w:pPr>
              <w:pStyle w:val="TableContents"/>
              <w:bidi w:val="0"/>
              <w:spacing w:before="0" w:after="283"/>
              <w:jc w:val="right"/>
              <w:rPr/>
            </w:pPr>
            <w:r>
              <w:rPr/>
              <w:t>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bookmarkStart w:id="452" w:name="xdx_90C_ecustom--SharebasedCompensationA"/>
            <w:bookmarkEnd w:id="452"/>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453" w:name="xdx_986_eus-gaap--StockIssuedDuringPerio"/>
            <w:bookmarkEnd w:id="453"/>
          </w:p>
        </w:tc>
        <w:tc>
          <w:tcPr>
            <w:tcW w:w="7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54" w:name="xdx_987_eus-gaap--ShareBasedCompensation"/>
            <w:bookmarkEnd w:id="454"/>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455" w:name="xdx_98B_eus-gaap--ShareBasedCompensation"/>
            <w:bookmarkEnd w:id="455"/>
          </w:p>
        </w:tc>
        <w:tc>
          <w:tcPr>
            <w:tcW w:w="7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6" w:name="xdx_98A_eus-gaap--ShareBasedCompensation"/>
            <w:bookmarkEnd w:id="456"/>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7" w:name="xdx_98C_eus-gaap--ShareBasedCompensation"/>
            <w:bookmarkEnd w:id="457"/>
          </w:p>
        </w:tc>
        <w:tc>
          <w:tcPr>
            <w:tcW w:w="749"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8" w:name="xdx_985_eus-gaap--ShareBasedCompensation"/>
            <w:bookmarkEnd w:id="45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97,196,800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As of March 31, 2025</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9" w:name="xdx_98D_eus-gaap--ShareBasedCompensation"/>
            <w:bookmarkEnd w:id="459"/>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pPr>
            <w:r>
              <w:rPr/>
              <w:t>50,034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60" w:name="xdx_984_eus-gaap--ShareBasedCompensation"/>
            <w:bookmarkEnd w:id="46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61" w:name="xdx_90F_eus-gaap--SharebasedCompensation"/>
            <w:bookmarkEnd w:id="461"/>
            <w:r>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62" w:name="xdx_987_eus-gaap--ShareBasedCompensation"/>
            <w:bookmarkEnd w:id="462"/>
          </w:p>
        </w:tc>
        <w:tc>
          <w:tcPr>
            <w:tcW w:w="3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Exercisable at March 31, 2025</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63" w:name="xdx_980_eus-gaap--ShareBasedCompensation"/>
            <w:bookmarkEnd w:id="463"/>
          </w:p>
        </w:tc>
        <w:tc>
          <w:tcPr>
            <w:tcW w:w="749" w:type="dxa"/>
            <w:tcBorders>
              <w:bottom w:val="double" w:sz="6" w:space="0" w:color="000000"/>
            </w:tcBorders>
            <w:shd w:fill="CCEEFF" w:val="clear"/>
            <w:tcMar>
              <w:bottom w:w="28" w:type="dxa"/>
            </w:tcMar>
            <w:vAlign w:val="center"/>
          </w:tcPr>
          <w:p>
            <w:pPr>
              <w:pStyle w:val="TableContents"/>
              <w:bidi w:val="0"/>
              <w:spacing w:before="0" w:after="283"/>
              <w:jc w:val="right"/>
              <w:rPr/>
            </w:pPr>
            <w:r>
              <w:rPr/>
              <w:t>50,034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4" w:name="xdx_988_eus-gaap--ShareBasedCompensation"/>
            <w:bookmarkEnd w:id="46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65" w:name="xdx_90B_eus-gaap--SharebasedCompensation"/>
            <w:bookmarkEnd w:id="465"/>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66" w:name="xdx_981_eus-gaap--SharebasedCompensation"/>
            <w:bookmarkEnd w:id="466"/>
          </w:p>
        </w:tc>
        <w:tc>
          <w:tcPr>
            <w:tcW w:w="3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Vested and expected to vest at March 31, 2025</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67" w:name="xdx_98A_eus-gaap--ShareBasedCompensation"/>
            <w:bookmarkEnd w:id="467"/>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pPr>
            <w:r>
              <w:rPr/>
              <w:t>50,009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68" w:name="xdx_98D_eus-gaap--ShareBasedCompensation"/>
            <w:bookmarkEnd w:id="46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69" w:name="xdx_900_eus-gaap--SharebasedCompensation"/>
            <w:bookmarkEnd w:id="469"/>
            <w:r>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0" w:name="xdx_98C_eus-gaap--ShareBasedCompensation"/>
            <w:bookmarkEnd w:id="470"/>
          </w:p>
        </w:tc>
        <w:tc>
          <w:tcPr>
            <w:tcW w:w="3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71" w:name="xdx_8A9_z3OEgtPf2pDk"/>
      <w:bookmarkEnd w:id="471"/>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stock option on the grant date using the Black-Scholes-Merton valuation model, which requires several estimates including an estimate of the fair value of the underlying common stock on grant date. The expected volatility was based on an average of the historical volatility of the Company. The expected term was contractual life of option. The risk-free interest rate was based on the U.S. Treasury yield curve in effect at the time of grant for the expected term of the 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72" w:name="xdx_898_eus-gaap--ScheduleOfUnrecognized"/>
      <w:bookmarkEnd w:id="472"/>
      <w:r>
        <w:rPr>
          <w:rFonts w:ascii="Times New Roman;Times;Serif" w:hAnsi="Times New Roman;Times;Serif"/>
          <w:b w:val="false"/>
          <w:i w:val="false"/>
          <w:caps w:val="false"/>
          <w:smallCaps w:val="false"/>
          <w:sz w:val="20"/>
        </w:rPr>
        <w:t>Unrecognized stock-based compensation as of March 31, 2026, is as follows:</w:t>
      </w:r>
    </w:p>
    <w:p>
      <w:pPr>
        <w:pStyle w:val="TextBody"/>
        <w:pBdr/>
        <w:bidi w:val="0"/>
        <w:spacing w:before="0" w:after="0"/>
        <w:ind w:left="0" w:right="0" w:hanging="0"/>
        <w:jc w:val="both"/>
        <w:rPr>
          <w:caps w:val="false"/>
          <w:smallCaps w:val="false"/>
        </w:rPr>
      </w:pPr>
      <w:r>
        <w:rPr>
          <w:caps w:val="false"/>
          <w:smallCaps w:val="false"/>
        </w:rPr>
        <w:t> </w:t>
      </w:r>
      <w:bookmarkStart w:id="473" w:name="xdx_8B5_zKaQSNcdSHA7"/>
      <w:bookmarkEnd w:id="473"/>
      <w:r>
        <w:rPr>
          <w:rFonts w:ascii="Times New Roman;Times;Serif" w:hAnsi="Times New Roman;Times;Serif"/>
          <w:b w:val="false"/>
          <w:i w:val="false"/>
          <w:caps w:val="false"/>
          <w:smallCaps w:val="false"/>
          <w:sz w:val="20"/>
        </w:rPr>
        <w:t>Schedule of Unrecognized Stock-based Compensation</w:t>
      </w:r>
    </w:p>
    <w:tbl>
      <w:tblPr>
        <w:tblW w:w="4949" w:type="dxa"/>
        <w:jc w:val="left"/>
        <w:tblInd w:w="0" w:type="dxa"/>
        <w:tblLayout w:type="fixed"/>
        <w:tblCellMar>
          <w:top w:w="0" w:type="dxa"/>
          <w:left w:w="0" w:type="dxa"/>
          <w:bottom w:w="0" w:type="dxa"/>
          <w:right w:w="0" w:type="dxa"/>
        </w:tblCellMar>
      </w:tblPr>
      <w:tblGrid>
        <w:gridCol w:w="2045"/>
        <w:gridCol w:w="60"/>
        <w:gridCol w:w="298"/>
        <w:gridCol w:w="1192"/>
        <w:gridCol w:w="60"/>
        <w:gridCol w:w="60"/>
        <w:gridCol w:w="182"/>
        <w:gridCol w:w="977"/>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Unrecognized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jc w:val="center"/>
              <w:rPr>
                <w:b/>
              </w:rPr>
            </w:pPr>
            <w:r>
              <w:rPr>
                <w:b/>
              </w:rPr>
              <w:t>Stock-Based</w:t>
            </w:r>
          </w:p>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Recognition</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years)</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bookmarkStart w:id="474" w:name="xdx_98D_eus-gaap--EmployeeServiceShareBa"/>
            <w:bookmarkEnd w:id="474"/>
          </w:p>
        </w:tc>
        <w:tc>
          <w:tcPr>
            <w:tcW w:w="11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bookmarkStart w:id="475" w:name="xdx_987_eus-gaap--EmployeeServiceShareBa"/>
            <w:bookmarkEnd w:id="475"/>
          </w:p>
        </w:tc>
        <w:tc>
          <w:tcPr>
            <w:tcW w:w="1192" w:type="dxa"/>
            <w:tcBorders/>
            <w:shd w:fill="FFFFFF" w:val="clear"/>
            <w:vAlign w:val="center"/>
          </w:tcPr>
          <w:p>
            <w:pPr>
              <w:pStyle w:val="TableContents"/>
              <w:bidi w:val="0"/>
              <w:spacing w:before="0" w:after="283"/>
              <w:jc w:val="right"/>
              <w:rPr/>
            </w:pPr>
            <w:r>
              <w:rPr/>
              <w:t>2,062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bookmarkStart w:id="476" w:name="xdx_900_eus-gaap--EmployeeServiceShareBa"/>
            <w:bookmarkEnd w:id="476"/>
            <w:r>
              <w:rPr/>
              <w:t>1.0</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77" w:name="xdx_8AB_zTqbuea1zSzc"/>
      <w:bookmarkEnd w:id="477"/>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78" w:name="xdx_809_eus-gaap--CommitmentsAndContinge"/>
      <w:bookmarkEnd w:id="478"/>
      <w:r>
        <w:rPr>
          <w:rFonts w:ascii="Times New Roman;Times;Serif" w:hAnsi="Times New Roman;Times;Serif"/>
          <w:b/>
          <w:i w:val="false"/>
          <w:caps w:val="false"/>
          <w:smallCaps w:val="false"/>
          <w:sz w:val="20"/>
        </w:rPr>
        <w:t xml:space="preserve">11. </w:t>
      </w:r>
      <w:bookmarkStart w:id="479" w:name="xdx_822_zSegI2rK8lG4"/>
      <w:bookmarkEnd w:id="479"/>
      <w:r>
        <w:rPr>
          <w:rFonts w:ascii="Times New Roman;Times;Serif" w:hAnsi="Times New Roman;Times;Serif"/>
          <w:b/>
          <w:i w:val="false"/>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executed agreements with certain executive officers of the Company which, upon the occurrence of certain events related to a change in control, call for payments to the executives up to three times their annual salary and accelerated vesting of previously granted stock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various claims and legal proceedings covering matters that arise in the ordinary course of its business activities. Management believes any liability that may ultimately result from the resolution of these matters will not have a material adverse effect on the Company’s consolidated financial position, operating results or cash flows.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80" w:name="xdx_800_eus-gaap--LesseeOperatingLeasesT"/>
      <w:bookmarkEnd w:id="480"/>
      <w:r>
        <w:rPr>
          <w:rFonts w:ascii="Times New Roman;Times;Serif" w:hAnsi="Times New Roman;Times;Serif"/>
          <w:b/>
          <w:i w:val="false"/>
          <w:caps w:val="false"/>
          <w:smallCaps w:val="false"/>
          <w:sz w:val="20"/>
        </w:rPr>
        <w:t xml:space="preserve">12. </w:t>
      </w:r>
      <w:bookmarkStart w:id="481" w:name="xdx_824_zAKdQJDAGpaa"/>
      <w:bookmarkEnd w:id="481"/>
      <w:r>
        <w:rPr>
          <w:rFonts w:ascii="Times New Roman;Times;Serif" w:hAnsi="Times New Roman;Times;Serif"/>
          <w:b/>
          <w:i w:val="false"/>
          <w:caps w:val="false"/>
          <w:smallCaps w:val="false"/>
          <w:sz w:val="20"/>
        </w:rPr>
        <w:t>Leases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multiple operating leases from which it conducts its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SINTX</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w:t>
      </w:r>
      <w:bookmarkStart w:id="482" w:name="xdx_90D_eus-gaap--AreaOfLand_iI_usqft_c2"/>
      <w:bookmarkEnd w:id="482"/>
      <w:r>
        <w:rPr>
          <w:rFonts w:ascii="Times New Roman;Times;Serif" w:hAnsi="Times New Roman;Times;Serif"/>
          <w:b w:val="false"/>
          <w:i w:val="false"/>
          <w:caps w:val="false"/>
          <w:smallCaps w:val="false"/>
          <w:sz w:val="20"/>
        </w:rPr>
        <w:t xml:space="preserve">30,764 square feet of office, warehouse and manufacturing space under a single operating lease. </w:t>
      </w:r>
      <w:bookmarkStart w:id="483" w:name="xdx_905_eus-gaap--LesseeOperatingLeaseDe"/>
      <w:bookmarkEnd w:id="483"/>
      <w:r>
        <w:rPr>
          <w:rFonts w:ascii="Times New Roman;Times;Serif" w:hAnsi="Times New Roman;Times;Serif"/>
          <w:b w:val="false"/>
          <w:i w:val="false"/>
          <w:caps w:val="false"/>
          <w:smallCaps w:val="false"/>
          <w:sz w:val="20"/>
        </w:rPr>
        <w:t xml:space="preserve">This lease expires in October 2031. </w:t>
      </w:r>
      <w:bookmarkStart w:id="484" w:name="xdx_90C_eus-gaap--LesseeOperatingLeaseOp"/>
      <w:bookmarkEnd w:id="484"/>
      <w:r>
        <w:rPr>
          <w:rFonts w:ascii="Times New Roman;Times;Serif" w:hAnsi="Times New Roman;Times;Serif"/>
          <w:b w:val="false"/>
          <w:i w:val="false"/>
          <w:caps w:val="false"/>
          <w:smallCaps w:val="false"/>
          <w:sz w:val="20"/>
        </w:rPr>
        <w:t>The lease has one five-year extension 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SINTX Armor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on behalf of SINTX Armor, leases approximately </w:t>
      </w:r>
      <w:bookmarkStart w:id="485" w:name="xdx_909_eus-gaap--AreaOfLand_iI_usqft_c2"/>
      <w:bookmarkEnd w:id="485"/>
      <w:r>
        <w:rPr>
          <w:rFonts w:ascii="Times New Roman;Times;Serif" w:hAnsi="Times New Roman;Times;Serif"/>
          <w:b w:val="false"/>
          <w:i w:val="false"/>
          <w:caps w:val="false"/>
          <w:smallCaps w:val="false"/>
          <w:sz w:val="20"/>
        </w:rPr>
        <w:t xml:space="preserve">10,936 square feet of office and manufacturing space from which SINTX Armor conducted its operations. </w:t>
      </w:r>
      <w:bookmarkStart w:id="486" w:name="xdx_908_eus-gaap--LesseeOperatingLeaseDe"/>
      <w:bookmarkEnd w:id="486"/>
      <w:r>
        <w:rPr>
          <w:rFonts w:ascii="Times New Roman;Times;Serif" w:hAnsi="Times New Roman;Times;Serif"/>
          <w:b w:val="false"/>
          <w:i w:val="false"/>
          <w:caps w:val="false"/>
          <w:smallCaps w:val="false"/>
          <w:sz w:val="20"/>
        </w:rPr>
        <w:t>This lease expires in October 2031. Impairment of operating lease right-of-use assets of $</w:t>
      </w:r>
      <w:bookmarkStart w:id="487" w:name="xdx_900_eus-gaap--OperatingLeaseImpairme"/>
      <w:bookmarkEnd w:id="487"/>
      <w:r>
        <w:rPr>
          <w:rFonts w:ascii="Times New Roman;Times;Serif" w:hAnsi="Times New Roman;Times;Serif"/>
          <w:b w:val="false"/>
          <w:i w:val="false"/>
          <w:caps w:val="false"/>
          <w:smallCaps w:val="false"/>
          <w:sz w:val="20"/>
        </w:rPr>
        <w:t>0.7 million was recorded during 2024 related to Armor exit costs. In October 2025, the Company entered into a sublease agreement (the “Sublease”) with Hayes Performance Systems, Inc., a Delaware corporation (“Hayes”), pursuant to which the Company agreed to sublease to Hayes all of the premises the Company currently leases under its Industrial Lease Agreement dated August 19, 2021 with SLS Industrial Portfolio Owner SLCP, LLC (the “Prime Lease”). The Sublease term commenced on November 1, 2025, and expires on October 31, 2031, unless earlier terminated in accordance with the Sublease or upon termination of the Prime Lease. Under the Sublease, Hayes will pay the Company base rent ranging from approximately $</w:t>
      </w:r>
      <w:bookmarkStart w:id="488" w:name="xdx_907_eus-gaap--SubleaseIncome_c202510"/>
      <w:bookmarkEnd w:id="488"/>
      <w:r>
        <w:rPr>
          <w:rFonts w:ascii="Times New Roman;Times;Serif" w:hAnsi="Times New Roman;Times;Serif"/>
          <w:b w:val="false"/>
          <w:i w:val="false"/>
          <w:caps w:val="false"/>
          <w:smallCaps w:val="false"/>
          <w:sz w:val="20"/>
        </w:rPr>
        <w:t>9,700 per month during the first year of the Sublease to approximately $</w:t>
      </w:r>
      <w:bookmarkStart w:id="489" w:name="xdx_902_eus-gaap--SubleaseIncome_c202510"/>
      <w:bookmarkEnd w:id="489"/>
      <w:r>
        <w:rPr>
          <w:rFonts w:ascii="Times New Roman;Times;Serif" w:hAnsi="Times New Roman;Times;Serif"/>
          <w:b w:val="false"/>
          <w:i w:val="false"/>
          <w:caps w:val="false"/>
          <w:smallCaps w:val="false"/>
          <w:sz w:val="20"/>
        </w:rPr>
        <w:t>11,300 per month during the final year of the term, plus its proportionate share of operating expenses and taxes, currently estimated at $</w:t>
      </w:r>
      <w:bookmarkStart w:id="490" w:name="xdx_900_eus-gaap--AreaOfLand_iI_usqft_c2"/>
      <w:bookmarkEnd w:id="490"/>
      <w:r>
        <w:rPr>
          <w:rFonts w:ascii="Times New Roman;Times;Serif" w:hAnsi="Times New Roman;Times;Serif"/>
          <w:b w:val="false"/>
          <w:i w:val="false"/>
          <w:caps w:val="false"/>
          <w:smallCaps w:val="false"/>
          <w:sz w:val="20"/>
        </w:rPr>
        <w:t>0.25 per rentable square foot per month. The Sublease provided for a three-month rent deferral totaling approximately $</w:t>
      </w:r>
      <w:bookmarkStart w:id="491" w:name="xdx_90A_eus-gaap--SubleaseIncome_c202510"/>
      <w:bookmarkEnd w:id="491"/>
      <w:r>
        <w:rPr>
          <w:rFonts w:ascii="Times New Roman;Times;Serif" w:hAnsi="Times New Roman;Times;Serif"/>
          <w:b w:val="false"/>
          <w:i w:val="false"/>
          <w:caps w:val="false"/>
          <w:smallCaps w:val="false"/>
          <w:sz w:val="20"/>
        </w:rPr>
        <w:t>29,200, which will be repaid in six equal monthly installments beginning February 1, 2026. The Sublease is structured as a triple-net arrangement under which Hayes will be responsible for substantially all costs associated with the Subleased Premises, including utilities, maintenance, and insurance.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disposition of TA&amp;T, the lease facilities, including right of use assets and lease liabilities, were transferred to Tethon (see Note 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12 months or less are not recorded on the balance sheet. Lease expense is recognized on a straight-line basis over the term of the lease. The Company accounts for lease components separately from the non-lease components. The depreciable life of the assets and leasehold improvements are limited by the expected 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operating lease right-of-use assets were approximately $</w:t>
      </w:r>
      <w:bookmarkStart w:id="492" w:name="xdx_900_eus-gaap--OperatingLeaseRightOfU"/>
      <w:bookmarkEnd w:id="492"/>
      <w:r>
        <w:rPr>
          <w:rFonts w:ascii="Times New Roman;Times;Serif" w:hAnsi="Times New Roman;Times;Serif"/>
          <w:b w:val="false"/>
          <w:i w:val="false"/>
          <w:caps w:val="false"/>
          <w:smallCaps w:val="false"/>
          <w:sz w:val="20"/>
        </w:rPr>
        <w:t>2.4 million, and operating lease liability was approximately $</w:t>
      </w:r>
      <w:bookmarkStart w:id="493" w:name="xdx_905_eus-gaap--OperatingLeaseLiabilit"/>
      <w:bookmarkEnd w:id="493"/>
      <w:r>
        <w:rPr>
          <w:rFonts w:ascii="Times New Roman;Times;Serif" w:hAnsi="Times New Roman;Times;Serif"/>
          <w:b w:val="false"/>
          <w:i w:val="false"/>
          <w:caps w:val="false"/>
          <w:smallCaps w:val="false"/>
          <w:sz w:val="20"/>
        </w:rPr>
        <w:t xml:space="preserve">3.2 million. Non-cash operating lease expense was immaterial during the three months ended March 31, 2026 and 2025. As of March 31, 2026, the weighted-average discount rate for the Company’s operating lease was </w:t>
      </w:r>
      <w:bookmarkStart w:id="494" w:name="xdx_903_eus-gaap--OperatingLeaseWeighted"/>
      <w:bookmarkEnd w:id="494"/>
      <w:r>
        <w:rPr>
          <w:rFonts w:ascii="Times New Roman;Times;Serif" w:hAnsi="Times New Roman;Times;Serif"/>
          <w:b w:val="false"/>
          <w:i w:val="false"/>
          <w:caps w:val="false"/>
          <w:smallCaps w:val="false"/>
          <w:sz w:val="20"/>
        </w:rPr>
        <w:t>8.8%.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95" w:name="xdx_892_eus-gaap--LesseeOperatingLeaseLi"/>
      <w:bookmarkEnd w:id="495"/>
      <w:r>
        <w:rPr>
          <w:rFonts w:ascii="Times New Roman;Times;Serif" w:hAnsi="Times New Roman;Times;Serif"/>
          <w:b w:val="false"/>
          <w:i w:val="false"/>
          <w:caps w:val="false"/>
          <w:smallCaps w:val="false"/>
          <w:sz w:val="20"/>
        </w:rPr>
        <w:t>Operating lease future minimum payments together with the present values as of March 31, 2026, are summarized as follows (in thousands):</w:t>
      </w:r>
    </w:p>
    <w:p>
      <w:pPr>
        <w:pStyle w:val="TextBody"/>
        <w:pBdr/>
        <w:bidi w:val="0"/>
        <w:spacing w:before="0" w:after="0"/>
        <w:ind w:left="0" w:right="0" w:hanging="0"/>
        <w:jc w:val="both"/>
        <w:rPr>
          <w:caps w:val="false"/>
          <w:smallCaps w:val="false"/>
        </w:rPr>
      </w:pPr>
      <w:r>
        <w:rPr>
          <w:caps w:val="false"/>
          <w:smallCaps w:val="false"/>
        </w:rPr>
        <w:t> </w:t>
      </w:r>
      <w:bookmarkStart w:id="496" w:name="xdx_8B3_zvoMCmFF6YOg"/>
      <w:bookmarkEnd w:id="496"/>
      <w:r>
        <w:rPr>
          <w:rFonts w:ascii="Times New Roman;Times;Serif" w:hAnsi="Times New Roman;Times;Serif"/>
          <w:b w:val="false"/>
          <w:i w:val="false"/>
          <w:caps w:val="false"/>
          <w:smallCaps w:val="false"/>
          <w:sz w:val="20"/>
        </w:rPr>
        <w:t>Schedule of Operating Lease Future Minimum Payments</w:t>
      </w:r>
    </w:p>
    <w:tbl>
      <w:tblPr>
        <w:tblW w:w="5040" w:type="dxa"/>
        <w:jc w:val="left"/>
        <w:tblInd w:w="0" w:type="dxa"/>
        <w:tblLayout w:type="fixed"/>
        <w:tblCellMar>
          <w:top w:w="0" w:type="dxa"/>
          <w:left w:w="0" w:type="dxa"/>
          <w:bottom w:w="28" w:type="dxa"/>
          <w:right w:w="0" w:type="dxa"/>
        </w:tblCellMar>
      </w:tblPr>
      <w:tblGrid>
        <w:gridCol w:w="4010"/>
        <w:gridCol w:w="60"/>
        <w:gridCol w:w="172"/>
        <w:gridCol w:w="688"/>
        <w:gridCol w:w="110"/>
      </w:tblGrid>
      <w:tr>
        <w:trPr/>
        <w:tc>
          <w:tcPr>
            <w:tcW w:w="401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497" w:name="xdx_494_20260331_zsJDoQ9etANf"/>
            <w:bookmarkEnd w:id="497"/>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bookmarkStart w:id="498" w:name="xdx_405_eus-gaap--LesseeOperatingLeaseLi"/>
            <w:bookmarkEnd w:id="498"/>
          </w:p>
        </w:tc>
      </w:tr>
      <w:tr>
        <w:trPr/>
        <w:tc>
          <w:tcPr>
            <w:tcW w:w="4010" w:type="dxa"/>
            <w:tcBorders/>
            <w:shd w:fill="CCEEFF" w:val="clear"/>
            <w:tcMar>
              <w:bottom w:w="0" w:type="dxa"/>
            </w:tcMar>
            <w:vAlign w:val="center"/>
          </w:tcPr>
          <w:p>
            <w:pPr>
              <w:pStyle w:val="TableContents"/>
              <w:bidi w:val="0"/>
              <w:spacing w:before="0" w:after="283"/>
              <w:jc w:val="both"/>
              <w:rPr/>
            </w:pPr>
            <w:r>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688" w:type="dxa"/>
            <w:tcBorders/>
            <w:shd w:fill="CCEEFF" w:val="clear"/>
            <w:tcMar>
              <w:bottom w:w="0" w:type="dxa"/>
            </w:tcMar>
            <w:vAlign w:val="center"/>
          </w:tcPr>
          <w:p>
            <w:pPr>
              <w:pStyle w:val="TableContents"/>
              <w:bidi w:val="0"/>
              <w:spacing w:before="0" w:after="283"/>
              <w:jc w:val="right"/>
              <w:rPr/>
            </w:pPr>
            <w:r>
              <w:rPr/>
              <w:t>502</w:t>
            </w:r>
          </w:p>
        </w:tc>
        <w:tc>
          <w:tcPr>
            <w:tcW w:w="110" w:type="dxa"/>
            <w:tcBorders/>
            <w:shd w:fill="CCEEFF" w:val="clear"/>
            <w:tcMar>
              <w:bottom w:w="0" w:type="dxa"/>
            </w:tcMar>
            <w:vAlign w:val="center"/>
          </w:tcPr>
          <w:p>
            <w:pPr>
              <w:pStyle w:val="TableContents"/>
              <w:bidi w:val="0"/>
              <w:spacing w:before="0" w:after="283"/>
              <w:jc w:val="left"/>
              <w:rPr/>
            </w:pPr>
            <w:r>
              <w:rPr/>
              <w:t> </w:t>
            </w:r>
            <w:bookmarkStart w:id="499" w:name="xdx_40A_eus-gaap--LesseeOperatingLeaseLi"/>
            <w:bookmarkEnd w:id="499"/>
          </w:p>
        </w:tc>
      </w:tr>
      <w:tr>
        <w:trPr/>
        <w:tc>
          <w:tcPr>
            <w:tcW w:w="401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688</w:t>
            </w:r>
          </w:p>
        </w:tc>
        <w:tc>
          <w:tcPr>
            <w:tcW w:w="110" w:type="dxa"/>
            <w:tcBorders/>
            <w:shd w:fill="FFFFFF" w:val="clear"/>
            <w:tcMar>
              <w:bottom w:w="0" w:type="dxa"/>
            </w:tcMar>
            <w:vAlign w:val="center"/>
          </w:tcPr>
          <w:p>
            <w:pPr>
              <w:pStyle w:val="TableContents"/>
              <w:bidi w:val="0"/>
              <w:spacing w:before="0" w:after="283"/>
              <w:jc w:val="left"/>
              <w:rPr/>
            </w:pPr>
            <w:r>
              <w:rPr/>
              <w:t> </w:t>
            </w:r>
            <w:bookmarkStart w:id="500" w:name="xdx_401_eus-gaap--LesseeOperatingLeaseLi"/>
            <w:bookmarkEnd w:id="500"/>
          </w:p>
        </w:tc>
      </w:tr>
      <w:tr>
        <w:trPr/>
        <w:tc>
          <w:tcPr>
            <w:tcW w:w="401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709</w:t>
            </w:r>
          </w:p>
        </w:tc>
        <w:tc>
          <w:tcPr>
            <w:tcW w:w="110" w:type="dxa"/>
            <w:tcBorders/>
            <w:shd w:fill="CCEEFF" w:val="clear"/>
            <w:tcMar>
              <w:bottom w:w="0" w:type="dxa"/>
            </w:tcMar>
            <w:vAlign w:val="center"/>
          </w:tcPr>
          <w:p>
            <w:pPr>
              <w:pStyle w:val="TableContents"/>
              <w:bidi w:val="0"/>
              <w:spacing w:before="0" w:after="283"/>
              <w:jc w:val="left"/>
              <w:rPr/>
            </w:pPr>
            <w:r>
              <w:rPr/>
              <w:t> </w:t>
            </w:r>
            <w:bookmarkStart w:id="501" w:name="xdx_401_eus-gaap--LesseeOperatingLeaseLi"/>
            <w:bookmarkEnd w:id="501"/>
          </w:p>
        </w:tc>
      </w:tr>
      <w:tr>
        <w:trPr/>
        <w:tc>
          <w:tcPr>
            <w:tcW w:w="401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730</w:t>
            </w:r>
          </w:p>
        </w:tc>
        <w:tc>
          <w:tcPr>
            <w:tcW w:w="110" w:type="dxa"/>
            <w:tcBorders/>
            <w:shd w:fill="FFFFFF" w:val="clear"/>
            <w:tcMar>
              <w:bottom w:w="0" w:type="dxa"/>
            </w:tcMar>
            <w:vAlign w:val="center"/>
          </w:tcPr>
          <w:p>
            <w:pPr>
              <w:pStyle w:val="TableContents"/>
              <w:bidi w:val="0"/>
              <w:spacing w:before="0" w:after="283"/>
              <w:jc w:val="left"/>
              <w:rPr/>
            </w:pPr>
            <w:r>
              <w:rPr/>
              <w:t> </w:t>
            </w:r>
            <w:bookmarkStart w:id="502" w:name="xdx_40F_eus-gaap--LesseeOperatingLeaseLi"/>
            <w:bookmarkEnd w:id="502"/>
          </w:p>
        </w:tc>
      </w:tr>
      <w:tr>
        <w:trPr/>
        <w:tc>
          <w:tcPr>
            <w:tcW w:w="401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752</w:t>
            </w:r>
          </w:p>
        </w:tc>
        <w:tc>
          <w:tcPr>
            <w:tcW w:w="110" w:type="dxa"/>
            <w:tcBorders/>
            <w:shd w:fill="CCEEFF" w:val="clear"/>
            <w:tcMar>
              <w:bottom w:w="0" w:type="dxa"/>
            </w:tcMar>
            <w:vAlign w:val="center"/>
          </w:tcPr>
          <w:p>
            <w:pPr>
              <w:pStyle w:val="TableContents"/>
              <w:bidi w:val="0"/>
              <w:spacing w:before="0" w:after="283"/>
              <w:jc w:val="left"/>
              <w:rPr/>
            </w:pPr>
            <w:r>
              <w:rPr/>
              <w:t> </w:t>
            </w:r>
            <w:bookmarkStart w:id="503" w:name="xdx_404_ecustom--LesseeOperatingLeaseLia"/>
            <w:bookmarkEnd w:id="503"/>
          </w:p>
        </w:tc>
      </w:tr>
      <w:tr>
        <w:trPr/>
        <w:tc>
          <w:tcPr>
            <w:tcW w:w="401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FFFFFF" w:val="clear"/>
            <w:vAlign w:val="center"/>
          </w:tcPr>
          <w:p>
            <w:pPr>
              <w:pStyle w:val="TableContents"/>
              <w:bidi w:val="0"/>
              <w:spacing w:before="0" w:after="283"/>
              <w:jc w:val="left"/>
              <w:rPr/>
            </w:pPr>
            <w:r>
              <w:rPr/>
              <w:t> </w:t>
            </w:r>
          </w:p>
        </w:tc>
        <w:tc>
          <w:tcPr>
            <w:tcW w:w="688" w:type="dxa"/>
            <w:tcBorders>
              <w:bottom w:val="single" w:sz="8" w:space="0" w:color="000000"/>
            </w:tcBorders>
            <w:shd w:fill="FFFFFF" w:val="clear"/>
            <w:vAlign w:val="center"/>
          </w:tcPr>
          <w:p>
            <w:pPr>
              <w:pStyle w:val="TableContents"/>
              <w:bidi w:val="0"/>
              <w:spacing w:before="0" w:after="283"/>
              <w:jc w:val="right"/>
              <w:rPr/>
            </w:pPr>
            <w:r>
              <w:rPr/>
              <w:t>643</w:t>
            </w:r>
          </w:p>
        </w:tc>
        <w:tc>
          <w:tcPr>
            <w:tcW w:w="110" w:type="dxa"/>
            <w:tcBorders/>
            <w:shd w:fill="FFFFFF" w:val="clear"/>
            <w:tcMar>
              <w:bottom w:w="0" w:type="dxa"/>
            </w:tcMar>
            <w:vAlign w:val="center"/>
          </w:tcPr>
          <w:p>
            <w:pPr>
              <w:pStyle w:val="TableContents"/>
              <w:bidi w:val="0"/>
              <w:spacing w:before="0" w:after="283"/>
              <w:jc w:val="left"/>
              <w:rPr/>
            </w:pPr>
            <w:r>
              <w:rPr/>
              <w:t> </w:t>
            </w:r>
            <w:bookmarkStart w:id="504" w:name="xdx_40B_eus-gaap--LesseeOperatingLeaseLi"/>
            <w:bookmarkEnd w:id="504"/>
          </w:p>
        </w:tc>
      </w:tr>
      <w:tr>
        <w:trPr/>
        <w:tc>
          <w:tcPr>
            <w:tcW w:w="4010" w:type="dxa"/>
            <w:tcBorders/>
            <w:shd w:fill="CCEEFF" w:val="clear"/>
            <w:tcMar>
              <w:bottom w:w="0" w:type="dxa"/>
            </w:tcMar>
            <w:vAlign w:val="center"/>
          </w:tcPr>
          <w:p>
            <w:pPr>
              <w:pStyle w:val="TableContents"/>
              <w:bidi w:val="0"/>
              <w:spacing w:before="0" w:after="283"/>
              <w:jc w:val="both"/>
              <w:rPr/>
            </w:pPr>
            <w:r>
              <w:rPr/>
              <w:t>Total future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4,024</w:t>
            </w:r>
          </w:p>
        </w:tc>
        <w:tc>
          <w:tcPr>
            <w:tcW w:w="110" w:type="dxa"/>
            <w:tcBorders/>
            <w:shd w:fill="CCEEFF" w:val="clear"/>
            <w:tcMar>
              <w:bottom w:w="0" w:type="dxa"/>
            </w:tcMar>
            <w:vAlign w:val="center"/>
          </w:tcPr>
          <w:p>
            <w:pPr>
              <w:pStyle w:val="TableContents"/>
              <w:bidi w:val="0"/>
              <w:spacing w:before="0" w:after="283"/>
              <w:jc w:val="left"/>
              <w:rPr/>
            </w:pPr>
            <w:r>
              <w:rPr/>
              <w:t> </w:t>
            </w:r>
            <w:bookmarkStart w:id="505" w:name="xdx_407_eus-gaap--LesseeOperatingLeaseLi"/>
            <w:bookmarkEnd w:id="505"/>
          </w:p>
        </w:tc>
      </w:tr>
      <w:tr>
        <w:trPr/>
        <w:tc>
          <w:tcPr>
            <w:tcW w:w="4010" w:type="dxa"/>
            <w:tcBorders/>
            <w:shd w:fill="FFFFFF" w:val="clear"/>
            <w:tcMar>
              <w:bottom w:w="0" w:type="dxa"/>
            </w:tcMar>
            <w:vAlign w:val="center"/>
          </w:tcPr>
          <w:p>
            <w:pPr>
              <w:pStyle w:val="TableContents"/>
              <w:bidi w:val="0"/>
              <w:spacing w:before="0" w:after="283"/>
              <w:jc w:val="both"/>
              <w:rPr/>
            </w:pPr>
            <w:r>
              <w:rPr/>
              <w:t>Less amounts representing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FFFFFF" w:val="clear"/>
            <w:vAlign w:val="center"/>
          </w:tcPr>
          <w:p>
            <w:pPr>
              <w:pStyle w:val="TableContents"/>
              <w:bidi w:val="0"/>
              <w:spacing w:before="0" w:after="283"/>
              <w:jc w:val="left"/>
              <w:rPr/>
            </w:pPr>
            <w:r>
              <w:rPr/>
              <w:t> </w:t>
            </w:r>
          </w:p>
        </w:tc>
        <w:tc>
          <w:tcPr>
            <w:tcW w:w="688" w:type="dxa"/>
            <w:tcBorders>
              <w:bottom w:val="single" w:sz="8" w:space="0" w:color="000000"/>
            </w:tcBorders>
            <w:shd w:fill="FFFFFF" w:val="clear"/>
            <w:vAlign w:val="center"/>
          </w:tcPr>
          <w:p>
            <w:pPr>
              <w:pStyle w:val="TableContents"/>
              <w:bidi w:val="0"/>
              <w:spacing w:before="0" w:after="283"/>
              <w:jc w:val="right"/>
              <w:rPr/>
            </w:pPr>
            <w:r>
              <w:rPr/>
              <w:t>(867</w:t>
            </w:r>
          </w:p>
        </w:tc>
        <w:tc>
          <w:tcPr>
            <w:tcW w:w="110" w:type="dxa"/>
            <w:tcBorders/>
            <w:shd w:fill="FFFFFF" w:val="clear"/>
            <w:tcMar>
              <w:bottom w:w="0" w:type="dxa"/>
            </w:tcMar>
            <w:vAlign w:val="center"/>
          </w:tcPr>
          <w:p>
            <w:pPr>
              <w:pStyle w:val="TableContents"/>
              <w:bidi w:val="0"/>
              <w:spacing w:before="0" w:after="283"/>
              <w:jc w:val="left"/>
              <w:rPr/>
            </w:pPr>
            <w:r>
              <w:rPr/>
              <w:t>)</w:t>
            </w:r>
            <w:bookmarkStart w:id="506" w:name="xdx_408_eus-gaap--OperatingLeaseLiabilit"/>
            <w:bookmarkEnd w:id="506"/>
          </w:p>
        </w:tc>
      </w:tr>
      <w:tr>
        <w:trPr/>
        <w:tc>
          <w:tcPr>
            <w:tcW w:w="4010" w:type="dxa"/>
            <w:tcBorders/>
            <w:shd w:fill="CCEEFF" w:val="clear"/>
            <w:tcMar>
              <w:bottom w:w="0" w:type="dxa"/>
            </w:tcMar>
            <w:vAlign w:val="center"/>
          </w:tcPr>
          <w:p>
            <w:pPr>
              <w:pStyle w:val="TableContents"/>
              <w:bidi w:val="0"/>
              <w:spacing w:before="0" w:after="283"/>
              <w:jc w:val="both"/>
              <w:rPr/>
            </w:pPr>
            <w:r>
              <w:rPr/>
              <w:t>Present value of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3,157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507" w:name="xdx_40D_eus-gaap--OperatingLeaseLiabilit"/>
            <w:bookmarkEnd w:id="507"/>
          </w:p>
        </w:tc>
      </w:tr>
      <w:tr>
        <w:trPr/>
        <w:tc>
          <w:tcPr>
            <w:tcW w:w="4010" w:type="dxa"/>
            <w:tcBorders/>
            <w:shd w:fill="CCEEFF" w:val="clear"/>
            <w:tcMar>
              <w:bottom w:w="0" w:type="dxa"/>
            </w:tcMar>
            <w:vAlign w:val="center"/>
          </w:tcPr>
          <w:p>
            <w:pPr>
              <w:pStyle w:val="TableContents"/>
              <w:bidi w:val="0"/>
              <w:spacing w:before="0" w:after="283"/>
              <w:jc w:val="both"/>
              <w:rPr/>
            </w:pPr>
            <w:r>
              <w:rPr/>
              <w:t>Current portion of operating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c>
          <w:tcPr>
            <w:tcW w:w="688" w:type="dxa"/>
            <w:tcBorders>
              <w:bottom w:val="single" w:sz="8" w:space="0" w:color="000000"/>
            </w:tcBorders>
            <w:shd w:fill="CCEEFF" w:val="clear"/>
            <w:vAlign w:val="center"/>
          </w:tcPr>
          <w:p>
            <w:pPr>
              <w:pStyle w:val="TableContents"/>
              <w:bidi w:val="0"/>
              <w:spacing w:before="0" w:after="283"/>
              <w:jc w:val="right"/>
              <w:rPr/>
            </w:pPr>
            <w:r>
              <w:rPr/>
              <w:t>422</w:t>
            </w:r>
          </w:p>
        </w:tc>
        <w:tc>
          <w:tcPr>
            <w:tcW w:w="110" w:type="dxa"/>
            <w:tcBorders/>
            <w:shd w:fill="CCEEFF" w:val="clear"/>
            <w:tcMar>
              <w:bottom w:w="0" w:type="dxa"/>
            </w:tcMar>
            <w:vAlign w:val="center"/>
          </w:tcPr>
          <w:p>
            <w:pPr>
              <w:pStyle w:val="TableContents"/>
              <w:bidi w:val="0"/>
              <w:spacing w:before="0" w:after="283"/>
              <w:jc w:val="left"/>
              <w:rPr/>
            </w:pPr>
            <w:r>
              <w:rPr/>
              <w:t> </w:t>
            </w:r>
            <w:bookmarkStart w:id="508" w:name="xdx_400_eus-gaap--OperatingLeaseLiabilit"/>
            <w:bookmarkEnd w:id="508"/>
          </w:p>
        </w:tc>
      </w:tr>
      <w:tr>
        <w:trPr/>
        <w:tc>
          <w:tcPr>
            <w:tcW w:w="4010" w:type="dxa"/>
            <w:tcBorders/>
            <w:shd w:fill="FFFFFF" w:val="clear"/>
            <w:tcMar>
              <w:bottom w:w="0" w:type="dxa"/>
            </w:tcMar>
            <w:vAlign w:val="center"/>
          </w:tcPr>
          <w:p>
            <w:pPr>
              <w:pStyle w:val="TableContents"/>
              <w:bidi w:val="0"/>
              <w:spacing w:before="0" w:after="283"/>
              <w:jc w:val="both"/>
              <w:rPr/>
            </w:pPr>
            <w:r>
              <w:rPr/>
              <w:t>Long-term portion operating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vAlign w:val="center"/>
          </w:tcPr>
          <w:p>
            <w:pPr>
              <w:pStyle w:val="TableContents"/>
              <w:bidi w:val="0"/>
              <w:spacing w:before="0" w:after="283"/>
              <w:jc w:val="left"/>
              <w:rPr/>
            </w:pPr>
            <w:r>
              <w:rPr/>
              <w:t>$</w:t>
            </w:r>
          </w:p>
        </w:tc>
        <w:tc>
          <w:tcPr>
            <w:tcW w:w="688" w:type="dxa"/>
            <w:tcBorders>
              <w:bottom w:val="double" w:sz="6" w:space="0" w:color="000000"/>
            </w:tcBorders>
            <w:shd w:fill="FFFFFF" w:val="clear"/>
            <w:vAlign w:val="center"/>
          </w:tcPr>
          <w:p>
            <w:pPr>
              <w:pStyle w:val="TableContents"/>
              <w:bidi w:val="0"/>
              <w:spacing w:before="0" w:after="283"/>
              <w:jc w:val="right"/>
              <w:rPr/>
            </w:pPr>
            <w:r>
              <w:rPr/>
              <w:t>2,735</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09" w:name="xdx_8A6_zyzDtqttTvjd"/>
      <w:bookmarkEnd w:id="509"/>
      <w:r>
        <w:rPr>
          <w:caps w:val="false"/>
          <w:smallCaps w:val="false"/>
        </w:rPr>
        <w:t> </w:t>
      </w:r>
    </w:p>
    <w:p>
      <w:pPr>
        <w:pStyle w:val="TextBody"/>
        <w:pBdr/>
        <w:bidi w:val="0"/>
        <w:spacing w:before="0" w:after="0"/>
        <w:ind w:left="0" w:right="0" w:hanging="0"/>
        <w:jc w:val="both"/>
        <w:rPr>
          <w:caps w:val="false"/>
          <w:smallCaps w:val="false"/>
        </w:rPr>
      </w:pPr>
      <w:bookmarkStart w:id="510" w:name="xdx_818_zUJtNZY4XfF2"/>
      <w:bookmarkEnd w:id="51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1" w:name="a_006"/>
      <w:bookmarkEnd w:id="51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for the year ended December 31, 2025 and the notes thereto, along with Management’s Discussion and Analysis of Financial Condition and Results of Operations, included in our Annual Report on Form 10-K for the year ended December 31, 2025, filed separately with the U.S. Securities and Exchange Commission. This discussion and analysis contains forward-looking statements based upon current beliefs, plans, expectations, intentions and projections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“Risk Factors” section of our Annual Report on Form 10-K for the year ended December 31, 2025, and any updates to those risk factors filed from time to time in our Quarterly Reports on Form 10-Q and in other filings with the Securities and Exchange Commission we may make from time-to-time.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(Si₃N₄)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our business within one reportable segment, which is consistent with how our management reviews our business, makes investment and resource allocation decisions, and assesses operating performance.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revenue is derived from the manufacture and sale of products. These revenue sources primarily include coatings, materials, and components for aerospace and medical device markets, toll processing services, and government contracts and grants. We generally recognize revenue from sales where control transfers at a point in time as the title and risk of loss passes to the customer, which is at the time the product is shipped. In general, our customer does not have rights of return or exchange.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product revenue will increase as we complete development and obtain regulatory clearance for our product candidates and secure opportunities to manufacture third party products with silicon nitride.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derive grant and contract revenue from awards provided by governmental agencies.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that are included in cost of revenue include all in-house manufacturing costs for the products we manufacture.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measures our product revenue relative to our cost of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costs are expensed as incurred. Research and development costs consist of engineering, product development, clinical trials, test-part manufacturing, testing, developing and validating the manufacturing process, manufacturing, facility and regulatory-related costs. Research and development expenses also include employee compensation, employee and non-employee stock-based compensation, supplies and materials, consultant services, and travel and facilities expenses related to research and development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additional research and development costs as we continue to develop new medical devices, related product candidates for antipathogenic applications, and other products which may increase our total research and development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related costs, including stock-based compensation for certain members of our executive team and board of directors, and other personnel employed in finance, legal, compliance, administrative, information technology, customer service, executive and human resource departments. General and administrative expenses also include other expenses not part of the other cost categories mentioned above, including facility expenses and professional fees for accounting and legal services.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tabular presentation of our unaudited condensed consolidated operating results for the three months ended March 31, 2026 and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750"/>
        <w:gridCol w:w="60"/>
        <w:gridCol w:w="146"/>
        <w:gridCol w:w="666"/>
        <w:gridCol w:w="99"/>
        <w:gridCol w:w="62"/>
        <w:gridCol w:w="146"/>
        <w:gridCol w:w="666"/>
        <w:gridCol w:w="95"/>
        <w:gridCol w:w="60"/>
        <w:gridCol w:w="199"/>
        <w:gridCol w:w="796"/>
        <w:gridCol w:w="95"/>
        <w:gridCol w:w="60"/>
        <w:gridCol w:w="107"/>
        <w:gridCol w:w="1008"/>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Product revenue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300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Grant and contract revenue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380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Costs of revenue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144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364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-67</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2,535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92</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399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1,895</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Grant and contract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3,351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2,506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(3,207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386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324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(2,821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(2,821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23</w:t>
            </w:r>
          </w:p>
        </w:tc>
        <w:tc>
          <w:tcPr>
            <w:tcW w:w="230" w:type="dxa"/>
            <w:tcBorders/>
            <w:shd w:fill="FFFFFF" w:val="clear"/>
            <w:vAlign w:val="center"/>
          </w:tcPr>
          <w:p>
            <w:pPr>
              <w:pStyle w:val="TableContents"/>
              <w:bidi w:val="0"/>
              <w:spacing w:before="0" w:after="283"/>
              <w:jc w:val="left"/>
              <w:rPr/>
            </w:pPr>
            <w:r>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total revenue increased $11,000, or 3%, compared to the same period in 2025. When excluding the total revenue decrease of $109,000 due to the sale of the TA&amp;T subsidiary, the remaining total revenue increased by $120,000, or 46%.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product revenue increased $9,000, or 3%, compared to the same period in 2025. When excluding the product revenue decrease of $64,000 due to the sale of the TA&amp;T subsidiary, the remaining product revenue increased by $73,000, or 32%.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grant and contract revenue increased $2,000, or 3%, as compared to the same period in 2025. When excluding the grant and contract revenue decrease of $45,000 due to the sale of the TA&amp;T subsidiary, the remaining grant and contract revenue increased by $47,000, or 142%.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trends and strategic focus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period was relatively consistent with the prior year, reflecting a combination of underlying growth in the Company’s continuing operations and the impact of changes to its business portfolio.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ongoing product lines and customer activities increased compared to the prior year period, driven by growth in the Company’s spine-related product offerings and continued demand within its OEM technical manufacturing business. In addition, activity under grant and contract programs contributed to period-over-period variability.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increases were partially offset by the absence of revenue associated with the Company’s former TA&amp;T subsidiary, which was divested in Q1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support its OEM technical manufacturing operations as a source of revenue and cash flow, with recent, meaningful pricing actions improving the profitability of this segment. At the same time, the Company remains focused on the long-term commercialization of proprietary silicon nitride-based biomedical devices, including its orthopedic product portfolio.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 and Gross profit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cost of revenue decreased by $10,000, or 4%, compared to the same period in 2025, primarily due to a continued focus on higher-margin sales.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research and development expenses decreased by $0.8 million, or 67%, compared to the same period in 2025. The decrease was primarily due to a $0.3 million reduction in headcount-related costs and $0.5 million due to the reallocation of certain overhead costs to general and administrative expenses. Historically, a significant portion of our operations was focused on research and development, resulting in the majority of overhead costs being allocated to research and development. As our focus has shifted toward commercialization, a greater portion of these costs is now classified as general and administrative.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general and administrative expenses increased by $1.2 million, or 92%, compared to the same period in 2025. The increase was primarily due to $1.1 million in higher headcount-related costs, including $0.4 million of non-cash stock-based compensation, as well as the reallocation of certain overhead costs of $0.5 million, as discussed above. These increases were partially offset by decreases of $0.2 million in non-employee stock-based compensation, $0.1 million in impairment cost recognized in 2025, and $0.1 million in other general expenses.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sales and marketing expenses increased by $0.4 million, or 1,895%, compared to the same period in 2025. The increase was primarily due to $0.2 million in higher headcount-related costs, including $0.1 million of non-cash stock-based compensation, as well as a $0.2 million increase in other sales and marketing related costs associated with our product launch.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and contract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grant and contract expenses increased by $2,000, or 4%, compared to the same period in 2025, primarily due to the increase in grant and contract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other income increased by $0.3 million, or 324%, compared to the same period in 2025, primarily due to a $0.3 million increase in other income from the change in value of derivative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Liquidity and capital resources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we will continue to operate as a going concern. To date, our operations have been principally financed from proceeds from the issuance of preferred and common stock and, to a lesser extent, cash generated from product sales. It is anticipated that we will continue to generate operating losses and use cash in operations. Our continuation as a going concern is dependent upon our ability to increase sales, decrease expenses and raise additional funding. We continue to seek opportunities to raise additional funding through equity and/or debt financing. However, such funding is not guaranteed and may not be available to us on favorable terms and may involve restrictive covenants. If we are not able to obtain additional debt or equity financing, the impact on us will be material and adverse.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incurred a net loss of $2.8 million and $2.3 million, respectively, and used cash in operating activities of $2.5 million and $1.3 million, respectively. We had an accumulated deficit of $295 million and $292 million as of March 31, 2026, and December 31,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management remain aligned in advancing the Company’s strategic direction and business objectives. While we expect to continue generating a significant portion of our revenues from our industrial business operations, management is increasingly concentrating resources on high-growth areas within the healthcare sector where our proprietary materials and technologies—such as silicon nitride—provide a distinct competitive advantage due to their unique strength, durability, and biocompatibility. We believe our established industrial activities provide an important operational and revenue foundation that supports the continued development and commercialization of our medical technologies. Building upon our established advanced materials expertise and recent FDA 510(k) clearance of the SiNAPTIC Foot &amp; Ankle Osteotomy Wedge System, we are focused on commercializing our medical technologies and advancing additional silicon nitride-based compositions and applications for orthopedic, spinal, wound care, and other medical markets in order to expand our footprint in the medical device sector and support long-term shareholder value creation.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ongoing strategic review of our operations aimed at improving operational efficiency and reducing costs, as discussed in Note 2 to the condensed consolidated financial statements, on February 19, 2025, we sold to Tethon all the issued and outstanding shares of TA&amp;T in exchange for the assumption by Tethon of the outstanding liabilities of 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further detail above, in October 2025, we received FDA 510(k) clearance for a new foot and ankle osteotomy wedge system, enabling SINTX’s commercial entry into reconstructive foot and ankle surgery in the United States. Revenue was recognized during Q1 2026 and is expected to increase throughout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9 to the condensed consolidated financial statements, in October 2025, we entered into the 2025 ATM Agreement to sell shares of our common stock from time to time, through an “at the market offering” program, having an aggregate offering price of $6.4 million. Through March 31, 2026, we have sold $0.7 million under the ATM, leaving a remaining balance of $5.7 million available under the ATM. Subsequent to March 31, 2026, we sold an additional $0.5 million under the ATM.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12 to the condensed consolidated financial statements, in October 2025, we entered into a sublease agreement to lease the SINTX Armor facility, that is expected to save us approximately $1.0 million over the sublease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actions undertaken by management to improve liquidity and operating costs—including the divestiture of non-core operations, implementation of cost improvement initiatives, commercialization of newly cleared medical products, access to capital through our ATM program, and execution of the Armor facility sublease—management has concluded that substantial doubt remains regarding our ability to continue as a going concern for a period of at least 12 months from the date these condensed consolidated financial statements are issued. Our ability to continue as a going concern will depend on our ability to generate increased revenues, achieve profitability, obtain additional financing, and successfully execute our strategic business objectives. The condensed consolidated financial statements do not include any adjustments that might result from the outcome of these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the periods indicated, cash flows from operating, investing and financing activities (in thousands) – unaudited:</w:t>
      </w:r>
    </w:p>
    <w:p>
      <w:pPr>
        <w:pStyle w:val="TextBody"/>
        <w:pBdr/>
        <w:bidi w:val="0"/>
        <w:spacing w:before="0" w:after="0"/>
        <w:ind w:left="0" w:right="0" w:hanging="0"/>
        <w:jc w:val="both"/>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3890"/>
        <w:gridCol w:w="60"/>
        <w:gridCol w:w="272"/>
        <w:gridCol w:w="1236"/>
        <w:gridCol w:w="184"/>
        <w:gridCol w:w="116"/>
        <w:gridCol w:w="272"/>
        <w:gridCol w:w="1236"/>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(2,491</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(1,301</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(7</w:t>
            </w:r>
          </w:p>
        </w:tc>
        <w:tc>
          <w:tcPr>
            <w:tcW w:w="184"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4,266</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pPr>
            <w:r>
              <w:rPr/>
              <w:t>(2,251</w:t>
            </w:r>
          </w:p>
        </w:tc>
        <w:tc>
          <w:tcPr>
            <w:tcW w:w="184"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pPr>
            <w:r>
              <w:rPr/>
              <w:t>2,902</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 million during the three months ended March 31, 2026, compared to $1.3 million used during the same period in 2025, an increase of $1.2 million. The increase was primarily due to an increase in net loss of $0.5 million, combined with increases in inventories of $0.4 million, change in fair value of derivative liabilities of $0.3 million, accounts receivable of $0.2 million and decreases in non-cash adjustments of $0.2 million for non-employee stock based compensation and $0.1 million in impairment cost. These changes were partially offset by an increase of $0.5 million in employee stock 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investing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$7,000 during the three months ended March 31, 2026, compared to $63,000 during the same period in 2025, a decrease of $56,000, primarily due to a decrease in purchases of property and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$0.2 million during the three months ended March 31, 2026, compared to $4.3 million provided during the same period in 2025. The $4.0 million decrease to net cash provided by financing activities was primarily due to a decrease in proceeds from issuance of common stock and prefunded warrants of $4.4 million, partially offset by an increase in proceeds from issuance of common stock in connection with ATM of $0.3 million and a decrease in repurchases of common stock into treasury of $0.1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Indebtedness may be found in Note 8 to the condensed consolidated financial statements included in Item 1 of Part I of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defined in Item 303(a)(4) of Regulation S-K.</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significant accounting policies and estimates is discussed in Management’s Discussion and Analysis of Financial Condition and Results of Operations and in Note 1 to our consolidated financial statements included in our Annual Report on Form 10-K for the year ended December 31, 2025. There have been no material changes to those policies for the three months ended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Accounting Pronouncements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Recent Accounting Pronouncements may be found in Note 1 to the condensed consolidated financial statements included in Item 1 of Part I of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bookmarkStart w:id="512" w:name="a_007"/>
      <w:bookmarkEnd w:id="512"/>
      <w:r>
        <w:rPr>
          <w:rFonts w:ascii="Times New Roman;Times;Serif" w:hAnsi="Times New Roman;Times;Serif"/>
          <w:b/>
          <w:i w:val="false"/>
          <w:caps w:val="false"/>
          <w:smallCaps w:val="false"/>
          <w:sz w:val="20"/>
        </w:rPr>
        <w:t>ITEM 3. QUANTITATIVE AND QUALITATIVE DISCLOSURES ABOUT MARKET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3" w:name="a_008"/>
      <w:bookmarkEnd w:id="513"/>
      <w:r>
        <w:rPr>
          <w:rFonts w:ascii="Times New Roman;Times;Serif" w:hAnsi="Times New Roman;Times;Serif"/>
          <w:b/>
          <w:i w:val="false"/>
          <w:caps w:val="false"/>
          <w:smallCaps w:val="false"/>
          <w:sz w:val="20"/>
        </w:rPr>
        <w:t>ITEM 4.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the certifications of our Chief Executive Officer (Principal Executive Officer) and Chief Financial Officer (Principal Financial and Accounting Officer) required by Rule 13a-14 of the Securities Exchange Act of 1934 (the “Exchange Act”). See Exhibits 31.1 and 31.2. This Item 4 includes information concerning the controls and control evaluations referred to in those certifications.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such term is defined in Rules 13a-15(e) and 15d-15(e) of the Securities Exchange Act of 1934 (the “Exchange Act”), that are designed to ensure that information required to be disclosed in the reports filed or submitted under the Exchange Act, is recorded, processed, summarized, and reported within the time periods specified by the Commission’s rules and forms. Disclosure controls and procedures include controls and procedures designed to ensure that information required to be disclosed in our reports filed or submitted under the Exchange Act are properly recorded, processed, summarized and reported within the time periods required by the Commission’s rules and forms.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carried out an evaluation, under the supervision and with the participation of our management, including our Chief Executive Officer (Principal Executive Officer) and Chief Financial Officer (Principal Financial and Accounting Officer), of the effectiveness of the design and operation of these disclosure controls and procedures, as such term is defined in Exchange Act Rule 13a-15(e), as of March 31, 2026. Based on this evaluation, the Chief Executive Officer and Chief Financial Officer concluded that our disclosure controls and procedures were effective as of March 31, 2026, the end of the period covered by this Quarterly Report on Form 10-Q.</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first quarter of 2026 that have materially affected, or are reasonably likely to materially affect, our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4" w:name="a_009"/>
      <w:bookmarkEnd w:id="514"/>
      <w:r>
        <w:rPr>
          <w:rFonts w:ascii="Times New Roman;Times;Serif" w:hAnsi="Times New Roman;Times;Serif"/>
          <w:b/>
          <w:i w:val="false"/>
          <w:caps w:val="false"/>
          <w:smallCaps w:val="false"/>
          <w:sz w:val="20"/>
        </w:rPr>
        <w:t>PART II</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5" w:name="a_010"/>
      <w:bookmarkEnd w:id="515"/>
      <w:r>
        <w:rPr>
          <w:rFonts w:ascii="Times New Roman;Times;Serif" w:hAnsi="Times New Roman;Times;Serif"/>
          <w:b/>
          <w:i w:val="false"/>
          <w:caps w:val="false"/>
          <w:smallCaps w:val="false"/>
          <w:sz w:val="20"/>
        </w:rPr>
        <w:t>ITEM 1. 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pending or threatened legal proceeding against us that could have a material adverse effect on our business, operating results or financial condition. The medical device industry is characterized by frequent claims and litigation, including claims regarding patent and other intellectual property rights as well as improper hiring practices. As a result, we may be involved in various legal proceedings from time to 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sz w:val="20"/>
        </w:rPr>
      </w:pPr>
      <w:bookmarkStart w:id="516" w:name="a_011"/>
      <w:bookmarkEnd w:id="516"/>
      <w:r>
        <w:rPr>
          <w:rFonts w:ascii="Times New Roman;Times;Serif" w:hAnsi="Times New Roman;Times;Serif"/>
          <w:b/>
          <w:i w:val="false"/>
          <w:caps/>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risk factors appears in Item 1A of our Annual Report on Form 10-K for the year ended December 31, 2025, which was filed with the SEC on March 20, 2026. There have been no material changes from the risk factors previously disclosed in the Annual Report on Form 10-K.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7" w:name="a_012"/>
      <w:bookmarkEnd w:id="517"/>
      <w:r>
        <w:rPr>
          <w:rFonts w:ascii="Times New Roman;Times;Serif" w:hAnsi="Times New Roman;Times;Serif"/>
          <w:b/>
          <w:i w:val="false"/>
          <w:caps w:val="false"/>
          <w:smallCaps w:val="false"/>
          <w:sz w:val="20"/>
        </w:rPr>
        <w:t>ITEM 2. UNREGISTERED SALES OF EQUITY SECURITIES AND USE OF PROCEEDS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announced that its board of directors authorized a share repurchase program that would allow the Company to repurchase up to $500,000 of the Company’s outstanding common stock. The extent to which the Company repurchases its shares, and the timing of such repurchases, will depend upon a variety of factors, including trading volume, market conditions, legal requirements, business conditions and other factors. The repurchase program may be discontinued at any time, and the program does not obligate the Company to acquire any specific number of shares of its common stock. There were no repurchases of shares under the share repurchase program during the first quarter of 2026. As of March 31, 2026, the maximum dollar value of shares that may yet be purchased under the program was $366,935.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8" w:name="a_013"/>
      <w:bookmarkEnd w:id="518"/>
      <w:r>
        <w:rPr>
          <w:rFonts w:ascii="Times New Roman;Times;Serif" w:hAnsi="Times New Roman;Times;Serif"/>
          <w:b/>
          <w:i w:val="false"/>
          <w:caps w:val="false"/>
          <w:smallCaps w:val="false"/>
          <w:sz w:val="20"/>
        </w:rPr>
        <w:t>ITEM 3. DEFAULTS UPON SENIOR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19" w:name="a_014"/>
      <w:bookmarkEnd w:id="519"/>
      <w:r>
        <w:rPr>
          <w:rFonts w:ascii="Times New Roman;Times;Serif" w:hAnsi="Times New Roman;Times;Serif"/>
          <w:b/>
          <w:i w:val="false"/>
          <w:caps w:val="false"/>
          <w:smallCaps w:val="false"/>
          <w:sz w:val="20"/>
        </w:rPr>
        <w:t>ITEM 4. MINE SAFETY DISCLOSURES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20" w:name="a_015"/>
      <w:bookmarkEnd w:id="520"/>
      <w:r>
        <w:rPr>
          <w:rFonts w:ascii="Times New Roman;Times;Serif" w:hAnsi="Times New Roman;Times;Serif"/>
          <w:b/>
          <w:i w:val="false"/>
          <w:caps w:val="false"/>
          <w:smallCaps w:val="false"/>
          <w:sz w:val="20"/>
        </w:rPr>
        <w:t>ITEM 5. OTHER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21" w:name="a_016"/>
      <w:bookmarkEnd w:id="521"/>
      <w:r>
        <w:rPr>
          <w:rFonts w:ascii="Times New Roman;Times;Serif" w:hAnsi="Times New Roman;Times;Serif"/>
          <w:b/>
          <w:i w:val="false"/>
          <w:caps w:val="false"/>
          <w:smallCaps w:val="false"/>
          <w:sz w:val="20"/>
        </w:rPr>
        <w:t>ITEM 6. EXHIBITS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4"/>
        <w:gridCol w:w="60"/>
        <w:gridCol w:w="5531"/>
        <w:gridCol w:w="60"/>
        <w:gridCol w:w="800"/>
        <w:gridCol w:w="60"/>
        <w:gridCol w:w="1339"/>
        <w:gridCol w:w="60"/>
        <w:gridCol w:w="649"/>
        <w:gridCol w:w="60"/>
        <w:gridCol w:w="832"/>
      </w:tblGrid>
      <w:tr>
        <w:trPr/>
        <w:tc>
          <w:tcPr>
            <w:tcW w:w="754"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53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9"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Reference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herein from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or Schedule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32"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Executive Employment Agreement, dated February 6, 2026, by and between SINTX Technologies, Inc. and Ryan Elmore</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02/18/26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Certificate of the Chief Executive Officer pursuant to Section 302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Certificate of the Principal Financial Officer pursuant to Section 302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the Chief Executive Officer pursuant to Section 906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the Chief Financial Officer pursuant to Section 906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522" w:name="a_017"/>
      <w:bookmarkEnd w:id="522"/>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515"/>
        <w:gridCol w:w="1160"/>
        <w:gridCol w:w="2300"/>
      </w:tblGrid>
      <w:tr>
        <w:trPr/>
        <w:tc>
          <w:tcPr>
            <w:tcW w:w="16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6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16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16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pBdr/>
        <w:bidi w:val="0"/>
        <w:spacing w:before="0" w:after="0"/>
        <w:ind w:left="0" w:right="0" w:hanging="0"/>
        <w:jc w:val="left"/>
        <w:rPr>
          <w:caps w:val="false"/>
          <w:smallCaps w:val="false"/>
        </w:rPr>
      </w:pPr>
      <w:bookmarkStart w:id="523" w:name="ex31-1.htm"/>
      <w:bookmarkStart w:id="524" w:name="ksex311"/>
      <w:bookmarkEnd w:id="523"/>
      <w:bookmarkEnd w:id="524"/>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Eric Olson,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SINTX Technologies, Inc.;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470"/>
        <w:gridCol w:w="1160"/>
        <w:gridCol w:w="320"/>
        <w:gridCol w:w="236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525" w:name="ex31-2.htm"/>
      <w:bookmarkStart w:id="526" w:name="ksex312"/>
      <w:bookmarkEnd w:id="525"/>
      <w:bookmarkEnd w:id="526"/>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Kevin Trask,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SINTX Technologies, Inc.;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firstLine="72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655"/>
        <w:gridCol w:w="320"/>
        <w:gridCol w:w="2300"/>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527" w:name="ex32-1.htm"/>
      <w:bookmarkStart w:id="528" w:name="ksex321"/>
      <w:bookmarkEnd w:id="527"/>
      <w:bookmarkEnd w:id="528"/>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UNDER SECTION 906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each of the undersigned officers of SINTX Technologies, Inc., a Delaware corporation (the “Company”), does hereby certify, to such officer’s knowledge, that: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655"/>
        <w:gridCol w:w="320"/>
        <w:gridCol w:w="23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bookmarkStart w:id="529" w:name="ex32-2.htm"/>
      <w:bookmarkStart w:id="530" w:name="ksex322"/>
      <w:bookmarkEnd w:id="529"/>
      <w:bookmarkEnd w:id="530"/>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UNDER SECTION 906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each of the undersigned officers of SINTX Technologies, Inc., a Delaware corporation (the “Company”), does hereby certify, to such officer’s knowledge, that: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655"/>
        <w:gridCol w:w="320"/>
        <w:gridCol w:w="230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9026/000149315226007271/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12235</Words>
  <Characters>67126</Characters>
  <CharactersWithSpaces>80432</CharactersWithSpaces>
  <Paragraphs>4292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